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NW_27347 (Nordrhein-Westfalen)</w:t>
      </w:r>
    </w:p>
    <w:p>
      <w:r>
        <w:rPr>
          <w:color w:val="555555"/>
          <w:sz w:val="18"/>
        </w:rPr>
        <w:t xml:space="preserve">Verordnung zur Übertragung von Befugnissen auf dem Gebiet des Reisekostenrechts für den Geschäftsbereich des Kultusministers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Ich übertrage die Befugnis zur Entscheidung</w:t>
      </w:r>
    </w:p>
    <w:p>
      <w:r>
        <w:t xml:space="preserve">1. nach § 9 Abs. 5 des Landesreisekostengesetzes</w:t>
      </w:r>
    </w:p>
    <w:p>
      <w:r>
        <w:t xml:space="preserve">den für die Festsetzung der Reisekostenvergütung jeweils zuständigen Behörden und Einrichtungen,</w:t>
      </w:r>
    </w:p>
    <w:p>
      <w:r>
        <w:t xml:space="preserve">2. nach § 17 des Landesreisekostengesetzes für Schulaufsichtsbeamte auf Kreisebene,</w:t>
      </w:r>
    </w:p>
    <w:p>
      <w:r>
        <w:t xml:space="preserve">für Leiter der Studienseminare,</w:t>
      </w:r>
    </w:p>
    <w:p>
      <w:r>
        <w:t xml:space="preserve">ihre ständigen Vertreter und für Fachleiter an den Studienseminaren,</w:t>
      </w:r>
    </w:p>
    <w:p>
      <w:r>
        <w:t xml:space="preserve">für Fachberater Sport</w:t>
      </w:r>
    </w:p>
    <w:p>
      <w:r>
        <w:t xml:space="preserve">den Regierungspräsidenten,</w:t>
      </w:r>
    </w:p>
    <w:p>
      <w:r>
        <w:t xml:space="preserve">3. nach § 23 Abs. 2 des Landesreisekostengesetzes</w:t>
      </w:r>
    </w:p>
    <w:p>
      <w:r>
        <w:t xml:space="preserve">den Regierungspräsidenten und den Leitern des Hauptstaatsarchivs in Düsseldorf, der Staatsarchive in Detmold und Münster und des Personenstandsarchivs in Brühl entsprechend ihrer jeweiligen Zuständigkeit.</w:t>
      </w:r>
    </w:p>
    <w:p>
      <w:r>
        <w:rPr>
          <w:color w:val="555555"/>
          <w:sz w:val="17"/>
        </w:rPr>
        <w:t xml:space="preserve">Zitiervorschlag: § 1 NW_27347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https://recht.nulegal.eu/gesetze/NW_27347/1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