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NW_27299 (Nordrhein-Westfalen) — Inkrafttreten, Übergangsregelung</w:t>
      </w:r>
    </w:p>
    <w:p>
      <w:r>
        <w:rPr>
          <w:color w:val="555555"/>
          <w:sz w:val="18"/>
        </w:rPr>
        <w:t xml:space="preserve">VAP2.1-baut.D-Gem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mit Wirkung vom 31. Dezember 1985 in Kraft.</w:t>
      </w:r>
    </w:p>
    <w:p>
      <w:r>
        <w:t xml:space="preserve">(2) Auszubildende oder Prüflinge, die sich am [einsetzen: Tag des Inkrafttretens dieser Verordnung] in der Ausbildung oder Prüfung befinden, beenden diese nach dieser Verordnung in der bis dahin geltenden Fassung.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t xml:space="preserve">Wiederherstellung des Verordnungsranges</w:t>
      </w:r>
    </w:p>
    <w:p>
      <w:r>
        <w:t xml:space="preserve">(Artikel 196 des Dritten Befristungsgesetzes vom 5.4.2005 (GV. NRW. S. 306))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t xml:space="preserve">Hinweis:</w:t>
      </w:r>
    </w:p>
    <w:p>
      <w:r>
        <w:t xml:space="preserve">Artikel 2 der Verordnung vom 5. September 2014 (GV. NRW. S. 480)</w:t>
      </w:r>
    </w:p>
    <w:p>
      <w:r>
        <w:t xml:space="preserve">Artikel 2</w:t>
      </w:r>
    </w:p>
    <w:p>
      <w:r>
        <w:t xml:space="preserve">Inkrafttreten, Übergangsregelung</w:t>
      </w:r>
    </w:p>
    <w:p>
      <w:r>
        <w:t xml:space="preserve">(1) Diese Verordnung tritt am Tag nach der Verkündung in Kraft.</w:t>
      </w:r>
    </w:p>
    <w:p>
      <w:r>
        <w:t xml:space="preserve">(2) Die Ausbildung und Prüfung der vor der Verkündung dieser Verordnung eingestellten Anwärterinnen und Anwärter richtet sich nach den bisher geltenden Vorschriften.</w:t>
      </w:r>
    </w:p>
    <w:p>
      <w:r>
        <w:rPr>
          <w:color w:val="555555"/>
          <w:sz w:val="17"/>
        </w:rPr>
        <w:t xml:space="preserve">Zitiervorschlag: § 28 NW_27299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https://recht.nulegal.eu/gesetze/NW_27299/28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