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NW_27299 (Nordrhein-Westfalen) — Schriftliche Prüfung</w:t>
      </w:r>
    </w:p>
    <w:p>
      <w:r>
        <w:rPr>
          <w:color w:val="555555"/>
          <w:sz w:val="18"/>
        </w:rPr>
        <w:t xml:space="preserve">VAP2.1-baut.D-Gem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Studienleiter bestimmt die Aufgaben für die schriftliche Prüfung.</w:t>
      </w:r>
    </w:p>
    <w:p>
      <w:r>
        <w:t xml:space="preserve">(2) Es sind vier Aufgaben aus den in Anlage 5 bezeichneten Prüfgebieten zu stellen. (Anlage 5)</w:t>
      </w:r>
    </w:p>
    <w:p>
      <w:r>
        <w:t xml:space="preserve">(3) Im Prüfungsverfahren sind für schwerbehinderte und ihnen gleichgestellte behinderte Menschen die ihrer Behinderung angemessenen Erleichterungen auf Antrag zu gewähren. Körperbehinderten sind auf Antrag die ihrer körperlichen Behinderung angemessenen Erleichterungen zu gewähren. Die Entscheidung trifft der Studienleiter; dabei dürfen die fachlichen Anforderungen nicht geringer bemessen werden.</w:t>
      </w:r>
    </w:p>
    <w:p>
      <w:r>
        <w:t xml:space="preserve">(4) Die schriftlichen Arbeiten sind getrennt in verschlossenen Umschlägen aufzubewahren und erst an den Prüfungstagen in Gegenwart der Kandidaten zu öffnen. Bei jeder Aufgabe ist die Zeit, in der sie zu lösen ist, und die Hilfsmittel, die benutzt werden dürfen, anzugeben. Erst nach Bewertung sämtlicher Arbeiten ist die Anonymität aufzuheben.</w:t>
      </w:r>
    </w:p>
    <w:p>
      <w:r>
        <w:t xml:space="preserve">(5) Der Studienleiter bestimmt, wer die Aufsicht führt.</w:t>
      </w:r>
    </w:p>
    <w:p>
      <w:r>
        <w:t xml:space="preserve">(6) Der Aufsichtführende fertigt eine Niederschrift und vermerkt in ihr jede Unregelmäßigkeit und den Zeitpunkt der Abgabe. Die Lösungen und die Niederschriften hat er in einem Umschlag zu verschließen und dem Vorsitzenden oder dem Studienleiter unmittelbar zu übersenden.</w:t>
      </w:r>
    </w:p>
    <w:p>
      <w:r>
        <w:rPr>
          <w:color w:val="555555"/>
          <w:sz w:val="17"/>
        </w:rPr>
        <w:t xml:space="preserve">Zitiervorschlag: § 21 NW_27299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https://recht.nulegal.eu/gesetze/NW_27299/21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