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NW_27252 (Nordrhein-Westfalen)</w:t>
      </w:r>
    </w:p>
    <w:p>
      <w:r>
        <w:rPr>
          <w:color w:val="555555"/>
          <w:sz w:val="18"/>
        </w:rPr>
        <w:t xml:space="preserve">Verordnung über die Ernennung, Entlassung und Zurruhesetzung von Beamtinnen und Beamten im Geschäftsbereich des Landesrechnungshofs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Tage nach der Verkündung in Kraft. Das zuständige Ministerium berichtet der Landesregierung bis Ende 2009 über die Notwendigkeit dieser Verordnung.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t xml:space="preserve">Der Ministerpräsident</w:t>
      </w:r>
    </w:p>
    <w:p>
      <w:r>
        <w:t xml:space="preserve">Der Innenminister</w:t>
      </w:r>
    </w:p>
    <w:p>
      <w:r>
        <w:t xml:space="preserve">Der Finanzminister</w:t>
      </w:r>
    </w:p>
    <w:p>
      <w:r>
        <w:t xml:space="preserve">Hinweis</w:t>
      </w:r>
    </w:p>
    <w:p>
      <w:r>
        <w:t xml:space="preserve">Wiederherstellung des Verordnungsranges</w:t>
      </w:r>
    </w:p>
    <w:p>
      <w:r>
        <w:t xml:space="preserve">(Artikel 270 des Zweiten Befristungsgesetzes vom 5.4.2005 (GV. NRW. S. 274))</w:t>
      </w:r>
    </w:p>
    <w:p>
      <w:r>
        <w:t xml:space="preserve">Die in diesem Gesetz erlassenen oder geänderten Rechtsverordnungen können aufgrund der jeweils einschlägigen Verordnungsermächtigungen durch Rechtsverordnung geändert werden.</w:t>
      </w:r>
    </w:p>
    <w:p>
      <w:r>
        <w:rPr>
          <w:color w:val="555555"/>
          <w:sz w:val="17"/>
        </w:rPr>
        <w:t xml:space="preserve">Zitiervorschlag: § 4 NW_27252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https://recht.nulegal.eu/gesetze/NW_27252/4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