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NW_27252 (Nordrhein-Westfalen)</w:t>
      </w:r>
    </w:p>
    <w:p>
      <w:r>
        <w:rPr>
          <w:color w:val="555555"/>
          <w:sz w:val="18"/>
        </w:rPr>
        <w:t xml:space="preserve">Verordnung über die Ernennung, Entlassung und Zurruhesetzung von Beamtinnen und Beamten im Geschäftsbereich des Landesrechnungshofs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 gilt entsprechend für die Erklärung des Einverständnisses zu einer Versetzung in den Landesdienst sowie für die Versetzung zu einem anderen Dienstherrn.</w:t>
      </w:r>
    </w:p>
    <w:p>
      <w:r>
        <w:rPr>
          <w:color w:val="555555"/>
          <w:sz w:val="17"/>
        </w:rPr>
        <w:t xml:space="preserve">Zitiervorschlag: § 3 NW_27252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https://recht.nulegal.eu/gesetze/NW_27252/3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