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NW_27241 (Nordrhein-Westfalen)</w:t>
      </w:r>
    </w:p>
    <w:p>
      <w:r>
        <w:rPr>
          <w:color w:val="555555"/>
          <w:sz w:val="18"/>
        </w:rPr>
        <w:t xml:space="preserve">Verordnung zur Bestimmung der Großen kreisangehörigen Städte und der Mittleren kreisangehörigen Städte nach § 4 der Gemeindeordnung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- entfallen -</w:t>
      </w:r>
    </w:p>
    <w:p>
      <w:r>
        <w:rPr>
          <w:color w:val="555555"/>
          <w:sz w:val="17"/>
        </w:rPr>
        <w:t xml:space="preserve">Zitiervorschlag: § 3 NW_27241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https://recht.nulegal.eu/gesetze/NW_27241/3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