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NW_27237 (Nordrhein-Westfalen) — Kinderbetreuungskosten</w:t>
      </w:r>
    </w:p>
    <w:p>
      <w:r>
        <w:rPr>
          <w:color w:val="555555"/>
          <w:sz w:val="18"/>
        </w:rPr>
        <w:t xml:space="preserve">Entschädigungssatzung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während der mandatsbedingten Abwesenheit vom Haushalt eine entgeltliche Kinderbetreuung notwendig, werden die nachgewiesenen Kosten auf Antrag erstattet. Kinderbetreuungskosten werden nicht für Zeiträume erstattet, für die Entschädigung nach § 6 geleistet wird.</w:t>
      </w:r>
    </w:p>
    <w:p>
      <w:r>
        <w:t xml:space="preserve">(2) Kinderbetreuungskosten können in der Regel bis zum 14. Lebensjahr des Kindes gezahlt werden. Sie dürfen den in § 6 Abs. 2 genannten Betrag in der Regel nicht übersteigen.</w:t>
      </w:r>
    </w:p>
    <w:p>
      <w:r>
        <w:rPr>
          <w:color w:val="555555"/>
          <w:sz w:val="17"/>
        </w:rPr>
        <w:t xml:space="preserve">Zitiervorschlag: § 7 NW_27237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