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NW_27237 (Nordrhein-Westfalen) — Arten der Entschädigung</w:t>
      </w:r>
    </w:p>
    <w:p>
      <w:r>
        <w:rPr>
          <w:color w:val="555555"/>
          <w:sz w:val="18"/>
        </w:rPr>
        <w:t xml:space="preserve">Entschädigungssatzung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Mitglieder der Landschaftsversammlung und die sachkundigen Bürgerinnen und Bürger im Sinne von § 13 Absatz 3 Satz 2 der Landschaftsverbandsordnung für das Land Nordrhein-Westfalen in der Fassung der Bekanntmachung vom 14. Juli 1994 (GV. NRW. S. 657), die zuletzt durch Artikel 3 des Gesetzes vom 15. November 2016 (GV. NRW. S. 966) geändert worden ist und der §§ 11 Absatz 2 und 12 Absatz 1 des Ersten Gesetzes zur Ausführung des Kinder-und Jugendhilfegesetzes vom 12. Dezember 1990 (GV. NRW. S. 664), das durch Artikel 2 des Gesetzes vom 17. Juni 2014 (GV. NRW. S. 336) geändert worden ist, erhalten nach näherer Bestimmung der §§ 2 bis 7 dieser Satzung</w:t>
      </w:r>
    </w:p>
    <w:p>
      <w:r>
        <w:t xml:space="preserve">1. Aufwandsentschädigung ausschließlich als Sitzungsgeld (Mitglieder der Landschaftsversammlung) bzw. Sitzungsgeld (sachkundige Bürgerinnen und Bürger)</w:t>
      </w:r>
    </w:p>
    <w:p>
      <w:r>
        <w:t xml:space="preserve">2. Fahrkostenerstattung</w:t>
      </w:r>
    </w:p>
    <w:p>
      <w:r>
        <w:t xml:space="preserve">3. Übernachtungsgeld</w:t>
      </w:r>
    </w:p>
    <w:p>
      <w:r>
        <w:t xml:space="preserve">4. Dienstreisenvergütung</w:t>
      </w:r>
    </w:p>
    <w:p>
      <w:r>
        <w:t xml:space="preserve">5. Ersatz für Verdienstausfall</w:t>
      </w:r>
    </w:p>
    <w:p>
      <w:r>
        <w:t xml:space="preserve">6. Kinderbetreuungskosten.</w:t>
      </w:r>
    </w:p>
    <w:p>
      <w:r>
        <w:rPr>
          <w:color w:val="555555"/>
          <w:sz w:val="17"/>
        </w:rPr>
        <w:t xml:space="preserve">Zitiervorschlag: § 1 NW_27237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https://recht.nulegal.eu/gesetze/NW_27237/1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