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NW_27235 (Nordrhein-Westfalen)</w:t>
      </w:r>
    </w:p>
    <w:p>
      <w:r>
        <w:rPr>
          <w:color w:val="555555"/>
          <w:sz w:val="18"/>
        </w:rPr>
        <w:t xml:space="preserve">Hauptsatzung des Landschaftsverbandes Westfalen-Lippe;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12. Januar 1995</w:t>
      </w:r>
    </w:p>
    <w:p>
      <w:r>
        <w:t xml:space="preserve">Die Landschaftsversammlung Westfalen-Lippe hat aufgrund der §§ 6, 7 Abs. 1 Buchstabe d) der Landschaftsverbandsordnung für das Land Nordrhein-Westfalen vom 12. Mai 1953 (GS. NW. S. 217) in der Fassung der Bekanntmachung vom 14. Juli 1994 (GV. NW. S. 657) in der Sitzung am 12. Januar 1995 folgende Neufassung der Hauptsatzung beschlossen, die hiermit bekanntgemacht wird:</w:t>
      </w:r>
    </w:p>
    <w:p>
      <w:r>
        <w:rPr>
          <w:color w:val="555555"/>
          <w:sz w:val="17"/>
        </w:rPr>
        <w:t xml:space="preserve">Zitiervorschlag: Volltext NW_27235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https://recht.nulegal.eu/gesetze/NW_27235/volltext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NW_27235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