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NW_27235 (Nordrhein-Westfalen) — Zahl der Landesrätinnen/Landesräte</w:t>
      </w:r>
    </w:p>
    <w:p>
      <w:r>
        <w:rPr>
          <w:color w:val="555555"/>
          <w:sz w:val="18"/>
        </w:rPr>
        <w:t xml:space="preserve">Hauptsatzung des Landschaftsverbandes Westfalen-Lippe;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Allgemeiner Vertreter der Direktorin/des Direktors des Landschaftsverbandes ist die Erste Landesrätin/der Erste Landesrat. Die Zahl der übrigen gemäß § 20 Abs. 1 LVerbO zu wählenden Landesrätinnen/Landesräte wird auf höchstens neun festgesetzt.</w:t>
      </w:r>
    </w:p>
    <w:p>
      <w:r>
        <w:rPr>
          <w:color w:val="555555"/>
          <w:sz w:val="17"/>
        </w:rPr>
        <w:t xml:space="preserve">Zitiervorschlag: § 7 NW_27235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https://recht.nulegal.eu/gesetze/NW_27235/7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