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NW_27235 (Nordrhein-Westfalen) — Unterausschüsse und Kommissionen</w:t>
      </w:r>
    </w:p>
    <w:p>
      <w:r>
        <w:rPr>
          <w:color w:val="555555"/>
          <w:sz w:val="18"/>
        </w:rPr>
        <w:t xml:space="preserve">Hauptsatzung des Landschaftsverbandes Westfalen-Lippe;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Ausschüsse können für ihren Geschäftsbereich Unterausschüsse und Kommissionen bilden. Die Bildung und Auflösung bedarf - mit Ausnahme der Unterausschüsse und Kommissionen des Landesjugendhilfeausschusses - der Zustimmung des Landschaftsausschusses. Das Nähere regelt die Geschäftsordnung.</w:t>
      </w:r>
    </w:p>
    <w:p>
      <w:r>
        <w:rPr>
          <w:color w:val="555555"/>
          <w:sz w:val="17"/>
        </w:rPr>
        <w:t xml:space="preserve">Zitiervorschlag: § 5 NW_27235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