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NW_27235 (Nordrhein-Westfalen) — Farbe, Wappen, Siegel, Flagge und Banner</w:t>
      </w:r>
    </w:p>
    <w:p>
      <w:r>
        <w:rPr>
          <w:color w:val="555555"/>
          <w:sz w:val="18"/>
        </w:rPr>
        <w:t xml:space="preserve">Hauptsatzung des Landschaftsverbandes Westfalen-Lippe;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Farben des Landschaftsverbandes Westfalen-Lippe sind weißrot.</w:t>
      </w:r>
    </w:p>
    <w:p>
      <w:r>
        <w:t xml:space="preserve">(2) Der Landschaftsverband Westfalen-Lippe führt ein Wappen, das im roten Feld ein steigendes silbernes Ross zeigt.</w:t>
      </w:r>
    </w:p>
    <w:p>
      <w:r>
        <w:t xml:space="preserve">(3) Der Landschaftsverband Westfalen-Lippe führt im Dienstsiegel das Wappen des Landschaftsverbandes mit der Umschrift „Landschaftsverband Westfalen-Lippe“.</w:t>
      </w:r>
    </w:p>
    <w:p>
      <w:r>
        <w:t xml:space="preserve">(4) Die Flagge besteht aus zwei gleich breiten Querstreifen, oben weiß, unten rot. Das in einem schwarzen Rand gefasste Wappen des Landschaftsverbandes Westfalen-Lippe ist mittig aufgelegt.</w:t>
      </w:r>
    </w:p>
    <w:p>
      <w:r>
        <w:t xml:space="preserve">(5) Das Banner und die Hissflagge besteht aus zwei gleichen Längsstreifen, weiß und rot. Es ist oberhalb der Mitte mit dem in einem schwarzen Rand gefassten Wappen des Landschaftsverbandes Westfalen-Lippe belegt.</w:t>
      </w:r>
    </w:p>
    <w:p>
      <w:r>
        <w:t xml:space="preserve">(6) Die Gestaltung von Wappen, Dienstsiegel, Flagge, Banner und Hissflagge ergibt sich im Einzelnen aus den dieser Satzung beigefügten Abbildungen (Anlagen).</w:t>
      </w:r>
    </w:p>
    <w:p>
      <w:r>
        <w:rPr>
          <w:color w:val="555555"/>
          <w:sz w:val="17"/>
        </w:rPr>
        <w:t xml:space="preserve">Zitiervorschlag: § 2 NW_27235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