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NW_27234 (Nordrhein-Westfalen) — Zuständigkeit des Landschaftsausschusses</w:t>
      </w:r>
    </w:p>
    <w:p>
      <w:r>
        <w:rPr>
          <w:color w:val="555555"/>
          <w:sz w:val="18"/>
        </w:rPr>
        <w:t xml:space="preserve">Bekanntmachung der Neufassung der Betriebssatzung für die Rheinischen Landeskliniken des Landschaftsverbandes Rheinland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Landschaftsausschuß entscheidet über alle Angelegenheiten der Klinik, soweit sie nicht der Landschaftsversammlung, ihren Fachausschüssen, dem Direktor des Landschaftsverbandes oder der Betriebsleitung vorbehalten sind.</w:t>
      </w:r>
    </w:p>
    <w:p>
      <w:r>
        <w:t xml:space="preserve">Er entscheidet insbesondere über</w:t>
      </w:r>
    </w:p>
    <w:p>
      <w:r>
        <w:t xml:space="preserve">1. Aufgabenstellung und Zielplanung der Klinik,</w:t>
      </w:r>
    </w:p>
    <w:p>
      <w:r>
        <w:t xml:space="preserve">2. Grundsatzfragen bei der Übernahme von Lehr- und Forschungsaufgaben,</w:t>
      </w:r>
    </w:p>
    <w:p>
      <w:r>
        <w:t xml:space="preserve">3. Zurverfügungstellung der Klinik für Zwecke der Lehre und Forschung,</w:t>
      </w:r>
    </w:p>
    <w:p>
      <w:r>
        <w:t xml:space="preserve">4. Auflösung der Klinik oder wesentlicher Teile,</w:t>
      </w:r>
    </w:p>
    <w:p>
      <w:r>
        <w:t xml:space="preserve">5. Rahmenvorgaben, Meßziffern, Richtzahlen einschließlich Stellenschlüssel,</w:t>
      </w:r>
    </w:p>
    <w:p>
      <w:r>
        <w:t xml:space="preserve">6. Bestellung und Abberufung der Mitglieder der Betriebsleitung und ihrer Vertreter,</w:t>
      </w:r>
    </w:p>
    <w:p>
      <w:r>
        <w:t xml:space="preserve">7. Bestellung und Abberufung der Abteilungsärzte und der Fachbereichsärzte,</w:t>
      </w:r>
    </w:p>
    <w:p>
      <w:r>
        <w:t xml:space="preserve">8. Allgemeine Vertrags-/Anstellungsbedingungen oder Musterverträge für die Mitglieder der Betriebsleitung, deren Vertreter und für die Abteilungsärzte, Abteilungsärztinnen,</w:t>
      </w:r>
    </w:p>
    <w:p>
      <w:r>
        <w:t xml:space="preserve">9. Mittel- und langfristige Investitionen, soweit die Gesamtkosten der Maßnahme 1 000 000,00 DM überschreiten,</w:t>
      </w:r>
    </w:p>
    <w:p>
      <w:r>
        <w:t xml:space="preserve">10. Planungsvorgaben zur Energieversorgung,</w:t>
      </w:r>
    </w:p>
    <w:p>
      <w:r>
        <w:t xml:space="preserve">11. Zuordnung von Grundstücken zum Sondervermögen,</w:t>
      </w:r>
    </w:p>
    <w:p>
      <w:r>
        <w:t xml:space="preserve">12. An- und Verkauf von Grundstücken sowie die Bestellung dinglicher Rechte an Grundstücken,</w:t>
      </w:r>
    </w:p>
    <w:p>
      <w:r>
        <w:t xml:space="preserve">13. Stellungnahmen des Landschaftsverbandes zu öffentlichen Planungsvorhaben, soweit das Sondervermögen betroffen ist, ausgenommen Flächennutzungspläne und Bebauungspläne; die Betriebsleitung ist vor Abgabe der Stellungnahme anzuhören,</w:t>
      </w:r>
    </w:p>
    <w:p>
      <w:r>
        <w:t xml:space="preserve">14. Durchführung einer Weisung des Direktors des Landschaftsverbandes nach § 8 Abs. 2 Satz 4 GemKHBVO.</w:t>
      </w:r>
    </w:p>
    <w:p>
      <w:r>
        <w:rPr>
          <w:color w:val="555555"/>
          <w:sz w:val="17"/>
        </w:rPr>
        <w:t xml:space="preserve">Zitiervorschlag: § 9 NW_27234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https://recht.nulegal.eu/gesetze/NW_27234/9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