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NW_27234 (Nordrhein-Westfalen) — Zuständigkeit der Landschaftsversammlung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Landschaftsversammlung entscheidet über</w:t>
      </w:r>
    </w:p>
    <w:p>
      <w:r>
        <w:t xml:space="preserve">a) Erlaß, Änderung und Aufhebung der Betriebssatzung</w:t>
      </w:r>
    </w:p>
    <w:p>
      <w:r>
        <w:t xml:space="preserve">b) Feststellung und Änderung des Wirtschaftsplans einschließlich des Investitionsprogramms</w:t>
      </w:r>
    </w:p>
    <w:p>
      <w:r>
        <w:t xml:space="preserve">c) Feststellung des Jahresabschlusses und Verwendung eines Gewinns oder Behandlung eines Verlustes</w:t>
      </w:r>
    </w:p>
    <w:p>
      <w:r>
        <w:t xml:space="preserve">d) Rückzahlung von Eigenkapital an den Landschaftsverband.</w:t>
      </w:r>
    </w:p>
    <w:p>
      <w:r>
        <w:t xml:space="preserve">(2) Sie berät über den Finanzplan der Klinik.</w:t>
      </w:r>
    </w:p>
    <w:p>
      <w:r>
        <w:rPr>
          <w:color w:val="555555"/>
          <w:sz w:val="17"/>
        </w:rPr>
        <w:t xml:space="preserve">Zitiervorschlag: § 8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