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NW_27234 (Nordrhein-Westfalen) — Gliederung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Klinik ist in Abteilungen gegliedert. Abteilungen gleicher Fachrichtung bilden einen Fachbereich.</w:t>
      </w:r>
    </w:p>
    <w:p>
      <w:r>
        <w:t xml:space="preserve">Sonderregelung zu § 4:</w:t>
      </w:r>
    </w:p>
    <w:p>
      <w:r>
        <w:t xml:space="preserve">- Rheinische Landesklinik Bedburg-Hau</w:t>
      </w:r>
    </w:p>
    <w:p>
      <w:r>
        <w:t xml:space="preserve">Die Klinik ist in Abteilungen gegliedert. Abteilungen gleicher Fachrichtung bilden einen Fachbereich. Die Abteilungen des KHG-Bereiches bilden den Fachbereich Psychiatrie 1, die Abteilungen für Rehabilitation den Fachbereich Psychiatrie 2.</w:t>
      </w:r>
    </w:p>
    <w:p>
      <w:r>
        <w:rPr>
          <w:color w:val="555555"/>
          <w:sz w:val="17"/>
        </w:rPr>
        <w:t xml:space="preserve">Zitiervorschlag: § 4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