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NW_27234 (Nordrhein-Westfalen) — Gemeinnützigkeit</w:t>
      </w:r>
    </w:p>
    <w:p>
      <w:r>
        <w:rPr>
          <w:color w:val="555555"/>
          <w:sz w:val="18"/>
        </w:rPr>
        <w:t xml:space="preserve">Bekanntmachung der Neufassung der Betriebssatzung für die Rheinischen Landeskliniken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Klinik verfolgt ausschließlich und unmittelbar gemeinnützige Zwecke gemäß den Bestimmungen der Abgabenordnung in der jeweils gültigen Fassung.</w:t>
      </w:r>
    </w:p>
    <w:p>
      <w:r>
        <w:t xml:space="preserve">(2) Etwaige Überschüsse dürfen nur für satzungsgemäße Zwecke verwendet werden.</w:t>
      </w:r>
    </w:p>
    <w:p>
      <w:r>
        <w:t xml:space="preserve">(3) Im Falle der Auflösung fällt das Vermögen an den Landschaftsverband.</w:t>
      </w:r>
    </w:p>
    <w:p>
      <w:r>
        <w:rPr>
          <w:color w:val="555555"/>
          <w:sz w:val="17"/>
        </w:rPr>
        <w:t xml:space="preserve">Zitiervorschlag: § 2 NW_27234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