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NW_27234 (Nordrhein-Westfalen) — Inkrafttreten</w:t>
      </w:r>
    </w:p>
    <w:p>
      <w:r>
        <w:rPr>
          <w:color w:val="555555"/>
          <w:sz w:val="18"/>
        </w:rPr>
        <w:t xml:space="preserve">Bekanntmachung der Neufassung der Betriebssatzung für die Rheinischen Landeskliniken des Landschaftsverbandes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Satzung tritt mit Veröffentlichung im Gesetz- und Verordnungsblatt NW in Kraft.</w:t>
      </w:r>
    </w:p>
    <w:p>
      <w:r>
        <w:t xml:space="preserve">Der Vorsitzende</w:t>
      </w:r>
    </w:p>
    <w:p>
      <w:r>
        <w:t xml:space="preserve">der Landschaftsversammlung Rheinland</w:t>
      </w:r>
    </w:p>
    <w:p>
      <w:r>
        <w:t xml:space="preserve">Dr. Wilhelm</w:t>
      </w:r>
    </w:p>
    <w:p>
      <w:r>
        <w:t xml:space="preserve">Klien</w:t>
      </w:r>
    </w:p>
    <w:p>
      <w:r>
        <w:t xml:space="preserve">Zylajew</w:t>
      </w:r>
    </w:p>
    <w:p>
      <w:r>
        <w:t xml:space="preserve">Schriftführer der Landschaftsversammlung</w:t>
      </w:r>
    </w:p>
    <w:p>
      <w:r>
        <w:t xml:space="preserve">Rheinland</w:t>
      </w:r>
    </w:p>
    <w:p>
      <w:r>
        <w:t xml:space="preserve">Die vorstehende Neufassung der Betriebssatzung der Rheinischen Landeskliniken des Landschaftsverbandes Rheinland wird gemäß § 6 Abs. 2 der Landschaftsverbandsordnung in der z.Zt. geltenden Fassung bekanntgemacht.</w:t>
      </w:r>
    </w:p>
    <w:p>
      <w:r>
        <w:t xml:space="preserve">Nach § 6 Abs. 3 Landschaftsverbandsordnung kann die Verletzung von Verfahrens- und Formvorschriften der Landschaftsverbandsordnung gegen Satzungen nach Ablauf eines Jahres seit ihrer Verkündung nicht mehr geltend gemacht werden, es sei denn,</w:t>
      </w:r>
    </w:p>
    <w:p>
      <w:r>
        <w:t xml:space="preserve">- eine vorgeschriebene Genehmigung fehlt,</w:t>
      </w:r>
    </w:p>
    <w:p>
      <w:r>
        <w:t xml:space="preserve">- die Satzung ist nicht ordnungsgemäß öffentlich bekanntgemacht worden,</w:t>
      </w:r>
    </w:p>
    <w:p>
      <w:r>
        <w:t xml:space="preserve">- der Direktor des Landschaftsverbandes hat den Beschluß der Landschaftsversammlung vorher beanstandet oder</w:t>
      </w:r>
    </w:p>
    <w:p>
      <w:r>
        <w:t xml:space="preserve">- der Form- oder Verfahrensmangel ist gegenüber dem Landschaftsverband vorher gerügt und dabei die verletzte Rechtsvorschrift und die Tatsache bezeichnet worden, die den Mangel ergibt.</w:t>
      </w:r>
    </w:p>
    <w:p>
      <w:r>
        <w:t xml:space="preserve">Köln, den 20. April 1994</w:t>
      </w:r>
    </w:p>
    <w:p>
      <w:r>
        <w:t xml:space="preserve">Der Direktor</w:t>
      </w:r>
    </w:p>
    <w:p>
      <w:r>
        <w:t xml:space="preserve">des Landschaftsverbandes Rheinland</w:t>
      </w:r>
    </w:p>
    <w:p>
      <w:r>
        <w:t xml:space="preserve">Dr. Fuchs</w:t>
      </w:r>
    </w:p>
    <w:p>
      <w:r>
        <w:rPr>
          <w:color w:val="555555"/>
          <w:sz w:val="17"/>
        </w:rPr>
        <w:t xml:space="preserve">Zitiervorschlag: § 18 NW_27234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https://recht.nulegal.eu/gesetze/NW_27234/18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