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NW_27234 (Nordrhein-Westfalen) — Gewinnverwendung</w:t>
      </w:r>
    </w:p>
    <w:p>
      <w:r>
        <w:rPr>
          <w:color w:val="555555"/>
          <w:sz w:val="18"/>
        </w:rPr>
        <w:t xml:space="preserve">Bekanntmachung der Neufassung der Betriebssatzung für die Rheinischen Landeskliniken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etwaiger Gewinn darf nur entnommen werden, wenn er in einem Bereich erzielt wurde, der nicht nach dem KHG gefördert wird und Kapitalausstattung und Finanzlage der Klinik die Entnahme gestatten.</w:t>
      </w:r>
    </w:p>
    <w:p>
      <w:r>
        <w:rPr>
          <w:color w:val="555555"/>
          <w:sz w:val="17"/>
        </w:rPr>
        <w:t xml:space="preserve">Zitiervorschlag: § 16 NW_27234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https://recht.nulegal.eu/gesetze/NW_27234/16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NW_27234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