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NW_27234 (Nordrhein-Westfalen) — Rechtsgrundlagen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Klinik wird unter dem Namen</w:t>
      </w:r>
    </w:p>
    <w:p>
      <w:r>
        <w:t xml:space="preserve">,,Rheinische Landesklinik</w:t>
      </w:r>
    </w:p>
    <w:p>
      <w:r>
        <w:t xml:space="preserve">Bedburg-Hau</w:t>
      </w:r>
    </w:p>
    <w:p>
      <w:r>
        <w:t xml:space="preserve">Bonn</w:t>
      </w:r>
    </w:p>
    <w:p>
      <w:r>
        <w:t xml:space="preserve">Düren</w:t>
      </w:r>
    </w:p>
    <w:p>
      <w:r>
        <w:t xml:space="preserve">Köln</w:t>
      </w:r>
    </w:p>
    <w:p>
      <w:r>
        <w:t xml:space="preserve">Langenfeld</w:t>
      </w:r>
    </w:p>
    <w:p>
      <w:r>
        <w:t xml:space="preserve">Mönchengladbach</w:t>
      </w:r>
    </w:p>
    <w:p>
      <w:r>
        <w:t xml:space="preserve">Viersen</w:t>
      </w:r>
    </w:p>
    <w:p>
      <w:r>
        <w:t xml:space="preserve">Rheinische Landes- und Hochschulklinik</w:t>
      </w:r>
    </w:p>
    <w:p>
      <w:r>
        <w:t xml:space="preserve">Düsseldorf</w:t>
      </w:r>
    </w:p>
    <w:p>
      <w:r>
        <w:t xml:space="preserve">Essen</w:t>
      </w:r>
    </w:p>
    <w:p>
      <w:r>
        <w:t xml:space="preserve">Rheinische Orthopädische Landesklinik Viersen"</w:t>
      </w:r>
    </w:p>
    <w:p>
      <w:r>
        <w:t xml:space="preserve">als wirtschaftlich und organisatorisch eigenständige Einrichtung wie ein Eigenbetrieb geführt.</w:t>
      </w:r>
    </w:p>
    <w:p>
      <w:r>
        <w:rPr>
          <w:color w:val="555555"/>
          <w:sz w:val="17"/>
        </w:rPr>
        <w:t xml:space="preserve">Zitiervorschlag: § 1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