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NW_27232 (Nordrhein-Westfalen) — Verfahren</w:t>
      </w:r>
    </w:p>
    <w:p>
      <w:r>
        <w:rPr>
          <w:color w:val="555555"/>
          <w:sz w:val="18"/>
        </w:rPr>
        <w:t xml:space="preserve">Bekanntmachung der Neufassung der Satzung des LWL-Landesjugendamtes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gesetzlich oder in dieser Satzung für das Verfahren nichts anderes bestimmt ist, sind für den Landesjugendhilfeausschuß und seine Unterausschüsse die Geschäftsordnung der Landschaftsversammlung des Landschaftsverbandes Westfalen-Lippe und ihrer Ausschüsse sowie die Satzung über die Entschädigung der Mitglieder der Landschaftsversammlung und der sachkundigen Bürger in den Ausschüssen sowie über Zuschüsse an die Fraktionen (Entschädigungssatzung) entsprechend anzuwenden.</w:t>
      </w:r>
    </w:p>
    <w:p>
      <w:r>
        <w:t xml:space="preserve">(2) Die/der Vorsitzende lädt zu den Sitzungen des Landesjugendhilfeausschusses unter Angabe der Tagesordnung ein. Die Sitzungen werden von der/dem Vorsitzenden und im Fall ihrer/seiner Verhinderung von ihrer/seiner Stellvertreterin/ihrem/seinem Stellvertreter geleitet.</w:t>
      </w:r>
    </w:p>
    <w:p>
      <w:r>
        <w:t xml:space="preserve">(3) Die Sitzungen des Landesjugendhilfeausschusses sind öffentlich. Die Öffentlichkeit ist ausgeschlossen bei</w:t>
      </w:r>
    </w:p>
    <w:p>
      <w:r>
        <w:t xml:space="preserve">- Angelegenheiten, deren Geheimhaltung gesetzlich vorgeschrieben ist;</w:t>
      </w:r>
    </w:p>
    <w:p>
      <w:r>
        <w:t xml:space="preserve">- sonstigen Angelegenheiten, durch deren Beratung in öffentlicher Sitzung das öffentliche Wohl oder schutzwürdige Interessen des Landschaftsverbandes Westfalen-Lippe oder einzelner Personen oder Gruppen gefährdet werden könnten.</w:t>
      </w:r>
    </w:p>
    <w:p>
      <w:r>
        <w:t xml:space="preserve">(4) Die Mitglieder des Landesjugendhilfeausschusses sind zur Verschwiegenheit besonders über solche Angelegenheiten, deren Geheimhaltung ihrer Natur nach erforderlich, besonders vorgeschrieben oder beschlossen ist, verpflichtet; sie dürfen die Kenntnis vertraulicher Angelegenheiten auch nach Beendigung ihrer Mitgliedschaft nicht unbefugt verwerten (§ 15 LVerbO).</w:t>
      </w:r>
    </w:p>
    <w:p>
      <w:r>
        <w:rPr>
          <w:color w:val="555555"/>
          <w:sz w:val="17"/>
        </w:rPr>
        <w:t xml:space="preserve">Zitiervorschlag: § 8 NW_27232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