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NW_27232 (Nordrhein-Westfalen) — Vorsitz</w:t>
      </w:r>
    </w:p>
    <w:p>
      <w:r>
        <w:rPr>
          <w:color w:val="555555"/>
          <w:sz w:val="18"/>
        </w:rPr>
        <w:t xml:space="preserve">Bekanntmachung der Neufassung der Satzung des LWL-Landesjugendamtes 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Die/der Vorsitzende des Landesjugendhilfeausschusses und ihre/seine Stellvertreterin/ihr/sein Stellvertreter werden von den stimmberechtigten Mitgliedern des Ausschusses aus den dem Ausschuß angehörenden Mitgliedern der Landschaftsversammlung in einem Wahlgang gewählt. Die/der Vorsitzende muß dem Landschaftsausschuß angehören.</w:t>
      </w:r>
    </w:p>
    <w:p>
      <w:r>
        <w:rPr>
          <w:color w:val="555555"/>
          <w:sz w:val="17"/>
        </w:rPr>
        <w:t xml:space="preserve">Zitiervorschlag: § 7 NW_27232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https://recht.nulegal.eu/gesetze/NW_27232/7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