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NW_27231 (Nordrhein-Westfalen) — Finanzwirtschaft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 Die Finanzwirtschaft ist sparsam und wirtschaftlich zu führen.</w:t>
      </w:r>
    </w:p>
    <w:p>
      <w:r>
        <w:t xml:space="preserve">2 Kredite dürfen nur aufgenommen werden, wenn eine andere Finanzierung nicht möglich ist oder wirtschaftlich unzweckmäßig wäre.</w:t>
      </w:r>
    </w:p>
    <w:p>
      <w:r>
        <w:t xml:space="preserve">3 Bei Geldanlagen ist auf eine ausreichende Sicherheit zu achten; sie sollen einen angemessenen Ertrag bringen.</w:t>
      </w:r>
    </w:p>
    <w:p>
      <w:r>
        <w:rPr>
          <w:color w:val="555555"/>
          <w:sz w:val="17"/>
        </w:rPr>
        <w:t xml:space="preserve">Zitiervorschlag: § 8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