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NW_27231 (Nordrhein-Westfalen) — Aufgaben</w:t>
      </w:r>
    </w:p>
    <w:p>
      <w:r>
        <w:rPr>
          <w:color w:val="555555"/>
          <w:sz w:val="18"/>
        </w:rPr>
        <w:t xml:space="preserve">Satzung der Rheinischen Versorgungskassen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1Der Verwaltungsrat beschließt über grundsätzliche Angelegenheiten. 2Hierzu gehören insbesondere:</w:t>
      </w:r>
    </w:p>
    <w:p>
      <w:r>
        <w:t xml:space="preserve">1. die Satzung und ihre Änderungen,</w:t>
      </w:r>
    </w:p>
    <w:p>
      <w:r>
        <w:t xml:space="preserve">2. die Feststellung und Änderung des Wirtschaftsplanes, die Feststellung des Jahresabschlusses sowie die Entlastung der Leiterin oder des Leiters der Rheinischen Zusatzversorgungskassen und der Geschäftsführerin/des Geschäftsführers,</w:t>
      </w:r>
    </w:p>
    <w:p>
      <w:r>
        <w:t xml:space="preserve">3.</w:t>
      </w:r>
    </w:p>
    <w:p>
      <w:r>
        <w:t xml:space="preserve">a) die Umlagehebesätze und die Erhöhungsfaktoren für die Umlageabschläge (§ 32),</w:t>
      </w:r>
    </w:p>
    <w:p>
      <w:r>
        <w:t xml:space="preserve">b) Pauschalierung von Verwaltungskostenbeiträgen für Erstattungsmitglieder gemäß § 1 Abs. 5 Satz 2,</w:t>
      </w:r>
    </w:p>
    <w:p>
      <w:r>
        <w:t xml:space="preserve">4. die Anhörung zur Bestellung und Abberufung der Geschäftsführerin/des Geschäftsführers, ihrer/seiner Stellvertreterin beziehungsweise ihres/seines Stellvertreters und der/des für das Finanzwesen zuständigen Beamtin/Beamten,</w:t>
      </w:r>
    </w:p>
    <w:p>
      <w:r>
        <w:t xml:space="preserve">5. die Erforderlichkeit von Personalanforderungen,</w:t>
      </w:r>
    </w:p>
    <w:p>
      <w:r>
        <w:t xml:space="preserve">6. die Aufstellung von Richtlinien für die Anlage der Rücklagen (§§ 34, 35),</w:t>
      </w:r>
    </w:p>
    <w:p>
      <w:r>
        <w:t xml:space="preserve">7. die Aufnahme, Kündigung (§ 12 Abs. 2) und vorzeitige Entlassung (§ 12 Abs. 4) freiwilliger Mitglieder,</w:t>
      </w:r>
    </w:p>
    <w:p>
      <w:r>
        <w:t xml:space="preserve">8. die Beauftragung der Prüfungseinrichtung (§ 33 Abs. 2 Buchstabe e),</w:t>
      </w:r>
    </w:p>
    <w:p>
      <w:r>
        <w:t xml:space="preserve">9. die Zustimmung zu Durchführungsvorschriften (§ 53),</w:t>
      </w:r>
    </w:p>
    <w:p>
      <w:r>
        <w:t xml:space="preserve">10. die Erklärung über das Einvernehmen zu Satzungsregelungen der Rheinischen Zusatzversorgungskasse (RZVK) in Fragen der Organisation und der Finanzverfassung und</w:t>
      </w:r>
    </w:p>
    <w:p>
      <w:r>
        <w:t xml:space="preserve">11. Grundsatzangelegenheiten der Beihilfekasse und ihrer Finanzierung.</w:t>
      </w:r>
    </w:p>
    <w:p>
      <w:r>
        <w:t xml:space="preserve">3Zu den Nummern 4 und 5 beschließt der Verwaltungsrat nach Anhören des Kassenausschusses der Rheinischen Zusatzversorgungskasse (RZVK).</w:t>
      </w:r>
    </w:p>
    <w:p>
      <w:r>
        <w:t xml:space="preserve">Abschnitt IV</w:t>
      </w:r>
    </w:p>
    <w:p>
      <w:r>
        <w:t xml:space="preserve">Verwaltung, Finanzwirtschaft und Aufsicht</w:t>
      </w:r>
    </w:p>
    <w:p>
      <w:r>
        <w:rPr>
          <w:color w:val="555555"/>
          <w:sz w:val="17"/>
        </w:rPr>
        <w:t xml:space="preserve">Zitiervorschlag: § 6 NW_27231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https://recht.nulegal.eu/gesetze/NW_27231/6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