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43 NW_27231 (Nordrhein-Westfalen) — Kostenerstattung</w:t>
      </w:r>
    </w:p>
    <w:p>
      <w:r>
        <w:rPr>
          <w:color w:val="555555"/>
          <w:sz w:val="18"/>
        </w:rPr>
        <w:t xml:space="preserve">Satzung der Rheinischen Versorgungskassen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1Zur Deckung der Verwaltungskosten wird ein jährlicher Verwaltungsbeitrag je Zahlfall erhoben, der sich nach Inhalt und Umfang der übernommenen Aufgaben bemisst. 2Weitere Einzelheiten können durch Verwaltungsvereinbarung geregelt werden.</w:t>
      </w:r>
    </w:p>
    <w:p>
      <w:r>
        <w:t xml:space="preserve">Abschnitt XI</w:t>
      </w:r>
    </w:p>
    <w:p>
      <w:r>
        <w:t xml:space="preserve">Verwaltung der Versorgungsrücklagen</w:t>
      </w:r>
    </w:p>
    <w:p>
      <w:r>
        <w:rPr>
          <w:color w:val="555555"/>
          <w:sz w:val="17"/>
        </w:rPr>
        <w:t xml:space="preserve">Zitiervorschlag: § 43 NW_27231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https://recht.nulegal.eu/gesetze/NW_27231/43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