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NW_27231 (Nordrhein-Westfalen) — Allgemeine Rücklage</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Sicherung der Wirtschaftsführung, für Zwecke der Erfüllung des Wirtschaftsplanes mit dem Ziel der Sicherstellung einer ausreichenden Kassenliquidität, zur Sicherstellung der satzungsgemäßen Aufgabenerfüllung und zur Vermeidung größerer Schwankungen der Umlage gemäß § 29 Abs. 5 ist eine allgemeine Rücklage bis zur Höhe von 2 Monatsbeträgen des unter § 29 Abs. 5 und 6 fallenden Versorgungsaufwandes und der Verwaltungskosten des jeweils vorangegangenen Wirtschaftsjahres anzusammeln.</w:t>
      </w:r>
    </w:p>
    <w:p>
      <w:r>
        <w:t xml:space="preserve">(2) 1Solange die in Absatz 1 genannte Höhe bei Erstellung des Jahresabschlusses nicht erreicht wird, ist der allgemeinen Rücklage mindestens ein Zehntel ihres Sollbestandes jährlich aus der Umlage (§ 29 Abs. 5) zuzuführen. ²Hierauf können die Vermögenserträgnisse angerechnet werden.</w:t>
      </w:r>
    </w:p>
    <w:p>
      <w:r>
        <w:t xml:space="preserve">(3) Ist der Sollbestand der allgemeinen Rücklage überschritten, können diese Mittel zur Minderung des in die Umlageberechnung (§ 29 Abs. 5) einzubeziehenden Gesamtaufwandes eingesetzt werden.</w:t>
      </w:r>
    </w:p>
    <w:p>
      <w:r>
        <w:t xml:space="preserve">(4) Die Absätze 1 bis 3 gelten nicht für Mitglieder, die am Umlageverfahren nicht beteiligt sind (Erstattungsmitglieder).</w:t>
      </w:r>
    </w:p>
    <w:p>
      <w:r>
        <w:rPr>
          <w:color w:val="555555"/>
          <w:sz w:val="17"/>
        </w:rPr>
        <w:t xml:space="preserve">Zitiervorschlag: § 34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