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NW_27231 (Nordrhein-Westfalen) — Regelungen des Haushalts- und Rechnungswesens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Rheinischen Versorgungskassen wird jährlich ein Wirtschaftsplan sowie ein Jahresabschluß und ein Lagebericht erstellt.</w:t>
      </w:r>
    </w:p>
    <w:p>
      <w:r>
        <w:t xml:space="preserve">(2) Die für die Wirtschaftsführung und das Rechnungswesen der Eigenbetriebe geltenden Vorschriften sind sinngemäß anzuwenden:</w:t>
      </w:r>
    </w:p>
    <w:p>
      <w:r>
        <w:t xml:space="preserve">a) Wegen der Besonderheit der Aufgabenstellung werden die Bilanz nach Formblatt 1 und die Gewinn- und Verlustrechnung nach Formblatt 3 der Verordnung über die Rechnungslegung von Versicherungsunternehmen gegliedert;</w:t>
      </w:r>
    </w:p>
    <w:p>
      <w:r>
        <w:t xml:space="preserve">b) auf die Darstellung einer mittelfristigen Finanzplanung mit Investitionsprogramm sowie auf die Abgabe von Zwischenberichten i.S.v. § 20 Eigenbetriebsverordnung für das Land Nordrhein-Westfalen (EigVO NRW) wird verzichtet;</w:t>
      </w:r>
    </w:p>
    <w:p>
      <w:r>
        <w:t xml:space="preserve">c) der Jahresabschluß, der Lagebericht und ggf. die Erfolgsübersicht sind von der Leiterin/vom Leiter der Rheinischen Versorgungskassen und von der Geschäftsführerin/vom Geschäftsführer bis zum Ablauf des 30. Juni nach dem Ende des Wirtschaftsjahres aufzustellen, unter Angabe des Datums zu unterzeichnen und dem Verwaltungsrat zur Feststellung zuzuleiten;</w:t>
      </w:r>
    </w:p>
    <w:p>
      <w:r>
        <w:t xml:space="preserve">d) von einer öffentlichen Bekanntmachung der Feststellung des Jahresabschlusses und Lageberichtes sowie einer öffentlichen Auslegung wird abgesehen;</w:t>
      </w:r>
    </w:p>
    <w:p>
      <w:r>
        <w:t xml:space="preserve">e) der Verwaltungsrat bestimmt, welche Wirtschaftsprüferin/welcher Wirtschaftsprüfer bzw. welche Wirtschaftsprüfungsgesellschaft mit der Prüfung des Jahresabschlusses und des Lageberichtes (§ 106 GO NRW) beauftragt wird.</w:t>
      </w:r>
    </w:p>
    <w:p>
      <w:r>
        <w:t xml:space="preserve">(3) Die Absätze 1 und 2 gelten für die Beihilfekasse und den Personalentgeltservice entsprechend.</w:t>
      </w:r>
    </w:p>
    <w:p>
      <w:r>
        <w:t xml:space="preserve">2. Rücklagenwirtschaft</w:t>
      </w:r>
    </w:p>
    <w:p>
      <w:r>
        <w:rPr>
          <w:color w:val="555555"/>
          <w:sz w:val="17"/>
        </w:rPr>
        <w:t xml:space="preserve">Zitiervorschlag: § 33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