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NW_27231 (Nordrhein-Westfalen) — Leistungsverpflichtungen</w:t>
      </w:r>
    </w:p>
    <w:p>
      <w:r>
        <w:rPr>
          <w:color w:val="555555"/>
          <w:sz w:val="18"/>
        </w:rPr>
        <w:t xml:space="preserve">Satzung der Rheinischen Versorgungskassen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1Ist ein Dritter kraft Gesetzes oder Einzelvereinbarung einem Mitglied gegenüber verpflichtet, einen Anteil an einer Versorgung zu tragen, so ist dieser Anteil an die Versorgungskasse abzuführen.² Soweit er auf die in § 29 Abs. 5 genannten Teile der Versorgung entfällt, steht er der jeweiligen Umlagegemeinschaft zur Verminderung des Umlagehebesatzes gem. § 29 Abs. 5 zu, ansonsten wird er zur Verminderung des individuellen Versorgungsanteils gem. § 29 Abs. 6 verwendet.</w:t>
      </w:r>
    </w:p>
    <w:p>
      <w:r>
        <w:t xml:space="preserve">(2) 1Ist ein Mitglied kraft Gesetzes verpflichtet, einen Anteil an einer Versorgung zu tragen, wird dieser Anteil von der jeweiligen Umlagegemeinschaft übernommen.</w:t>
      </w:r>
    </w:p>
    <w:p>
      <w:r>
        <w:t xml:space="preserve">2Bei Zustimmung der RVK gilt dies für von Mitgliedern abgeschlossene Einzelvereinbarungen entsprechend.</w:t>
      </w:r>
    </w:p>
    <w:p>
      <w:r>
        <w:t xml:space="preserve">(3) 1Ist ein Dritter einem Mitglied gegenüber zur Zahlung einer Abfindung nach dem Versorgungslastenteilungs-Staatsvertrag oder den entsprechenden landesrechtlichen Bestimmungen verpflichtet, ist diese Abfindung an die Rheinischen Versorgungskassen abzuführen. 2Die Abfindung fließt zu 30 % der jeweiligen Umlagegemeinschaft zur Verminderung des Umlagehebesatzes gemäß § 29 Absatz 5 zu. 3Dem Mitglied stehen 70 % der Abfindung zur Verminderung des individuellen Versorgungsanteils gemäß § 29 Absatz 6 bei Eintritt des Versorgungsfalles zu. 4Der Mitgliederanteil wird dem KVR-Fonds zugeführt und mitgliedsbezogen gutgeschrieben.</w:t>
      </w:r>
    </w:p>
    <w:p>
      <w:r>
        <w:t xml:space="preserve">(4) 1Ist ein Mitglied zur Zahlung einer Abfindung nach dem Versorgungslastenteilungs-Staatsvertrag oder den entsprechenden landesrechtlichen Bestimmungen verpflichtet, wird diese Abfindung von der jeweiligen Umlagegemeinschaft fristgerecht übernommen; in Schwebefällen gilt dies nur bei erneutem Dienstherrenwechsel sowie bei Eintritt des Versorgungsfalls. 2Sind Abfindungen und evtl. anfallende Zinsen nach den in Satz 1 genannten Bestimmungen von einem Mitglied an Dritte weiterzuleiten, übernehmen die Rheinischen Versorgungskassen diese Abfindung in Höhe des in Absatz 3 Satz 2 genannten Prozentsatzes. 3Der entsprechende Mitgliederanteil, bestehend aus der mitgliedsbezogenen Zuführung nach Absatz 3 Satz 4 und der bis zum Entnahmedatum realisierten Wertentwicklung des entsprechenden Anteils, wird dem KVR-Fonds entnommen. 4Der durch die Begrenzung des Satzes 3 evtl. verbleibende Restbetrag wird von der jeweiligen Umlagegemeinschaft übernommen. 5Bei Zustimmung der Rheinischen Versorgungskassen gelten die Sätze 1 bis 4 für von Mitgliedern abgeschlossene Einzelvereinbarungen entsprechend.</w:t>
      </w:r>
    </w:p>
    <w:p>
      <w:r>
        <w:t xml:space="preserve">(5) Die Absätze 1 bis 4 gelten nicht für Mitglieder, bei denen der Versorgungsaufwand im Wege der Erstattung ausgeglichen wird.</w:t>
      </w:r>
    </w:p>
    <w:p>
      <w:r>
        <w:rPr>
          <w:color w:val="555555"/>
          <w:sz w:val="17"/>
        </w:rPr>
        <w:t xml:space="preserve">Zitiervorschlag: § 31 NW_27231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https://recht.nulegal.eu/gesetze/NW_27231/31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