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NW_27231 (Nordrhein-Westfalen) — Pflichtmitglieder, freiwillige Mitglieder</w:t>
      </w:r>
    </w:p>
    <w:p>
      <w:r>
        <w:rPr>
          <w:color w:val="555555"/>
          <w:sz w:val="18"/>
        </w:rPr>
        <w:t xml:space="preserve">Satzung der Rheinischen Versorgungskassen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1Pflichtmitglieder der Rheinischen Versorgungskassen sind im Gebiet des Landschaftsverbandes Rheinland die kreisangehörigen Gemeinden mit Ausnahme der Städte; § 2 Absatz 2 Satz 2 bleibt unberührt. 2Soweit Gemeinden und Verbandsgemeinden in den Regierungsbezirken Koblenz und Trier aufgrund gesetzlicher Vorschriften des Landes Rheinland-Pfalz verpflichtet sind, einer öffentlich-rechtlichen Versorgungskasse anzugehören, werden sie mit dem Beitritt Pflichtmitglieder.</w:t>
      </w:r>
    </w:p>
    <w:p>
      <w:r>
        <w:t xml:space="preserve">(2) Als freiwillige Mitglieder können zugelassen werden</w:t>
      </w:r>
    </w:p>
    <w:p>
      <w:r>
        <w:t xml:space="preserve">a) andere Gemeinden und Gemeindeverbände,</w:t>
      </w:r>
    </w:p>
    <w:p>
      <w:r>
        <w:t xml:space="preserve">b) sonstige Körperschaften, Anstalten und Stiftungen des öffentlichen Rechts,</w:t>
      </w:r>
    </w:p>
    <w:p>
      <w:r>
        <w:t xml:space="preserve">c) Fraktionen des Deutschen Bundestages und des Landtags Nordrhein-Westfalen,</w:t>
      </w:r>
    </w:p>
    <w:p>
      <w:r>
        <w:t xml:space="preserve">d) kommunale Spitzenverbände und vergleichbare kommunale Spitzenorganisationen,</w:t>
      </w:r>
    </w:p>
    <w:p>
      <w:r>
        <w:t xml:space="preserve">e) juristische Personen des privaten Rechts und Personengesellschaften, wenn sie kommunale Aufgaben erfüllen,</w:t>
      </w:r>
    </w:p>
    <w:p>
      <w:r>
        <w:t xml:space="preserve">soweit sie ihren Sitz im Geschäftsbereich der Versorgungskasse haben.</w:t>
      </w:r>
    </w:p>
    <w:p>
      <w:r>
        <w:t xml:space="preserve">(3) Die Mitgliedschaft kann sich auf die Durchführung der Aufgaben des Personalentgeltsbereiches, der Beihilfekasse oder die Verwaltung der Versorgungsrücklage beschränken.</w:t>
      </w:r>
    </w:p>
    <w:p>
      <w:r>
        <w:t xml:space="preserve">(4) Das Verhältnis zwischen den Rheinischen Versorgungskassen und ihren Mitgliedern ist öffentlich-rechtlich bestimmt.</w:t>
      </w:r>
    </w:p>
    <w:p>
      <w:r>
        <w:t xml:space="preserve">Abschnitt III</w:t>
      </w:r>
    </w:p>
    <w:p>
      <w:r>
        <w:t xml:space="preserve">Verwaltungsrat</w:t>
      </w:r>
    </w:p>
    <w:p>
      <w:r>
        <w:rPr>
          <w:color w:val="555555"/>
          <w:sz w:val="17"/>
        </w:rPr>
        <w:t xml:space="preserve">Zitiervorschlag: § 3 NW_27231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