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NW_27231 (Nordrhein-Westfalen) — Dienstunfallfürsorge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1Von jedem Dienstunfall hat das Mitglied unverzüglich Anzeige nach vorgeschriebenem Muster zu erstatten. 2Vor der Entscheidung des Dienstherrn über die Anerkennung eines Unfalles als Dienstunfall ist die Versorgungskasse zu hören.</w:t>
      </w:r>
    </w:p>
    <w:p>
      <w:r>
        <w:t xml:space="preserve">(2) Darüber hinaus muß die Versorgungskasse gehört werden</w:t>
      </w:r>
    </w:p>
    <w:p>
      <w:r>
        <w:t xml:space="preserve">a) zur Durchführung des Heilverfahrens,</w:t>
      </w:r>
    </w:p>
    <w:p>
      <w:r>
        <w:t xml:space="preserve">b) vor Anerkennung dienstlicher Gründe, die im Einzelfalle die Inanspruchnahme der gesondert berechneten Unterkunft in einem Einzelzimmer oder sonstiger gesondert berechneter Leistungen erforderlich machen,</w:t>
      </w:r>
    </w:p>
    <w:p>
      <w:r>
        <w:t xml:space="preserve">c) vor jeder Neufestsetzung des Unfallausgleiches.</w:t>
      </w:r>
    </w:p>
    <w:p>
      <w:r>
        <w:rPr>
          <w:color w:val="555555"/>
          <w:sz w:val="17"/>
        </w:rPr>
        <w:t xml:space="preserve">Zitiervorschlag: § 20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