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NW_27231 (Nordrhein-Westfalen) — Umbildung und Auflösung von juristischen Personendes privaten Rechts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Umbildung und Auflösung von Mitgliedern, die nicht juristische Personen des öffentlichen Rechts sind, gilt § 13 mit Ausnahme des Absatzes 4 Satz 2 und 3 sinngemäß.</w:t>
      </w:r>
    </w:p>
    <w:p>
      <w:r>
        <w:t xml:space="preserve">(2) Für den Fall, daß eine der in § 3 Abs. 2 Buchst. d genannten Vereinigungen ohne Rechtsnachfolge aufgelöst wird, bleibt die Abwicklung der Versorgungsansprüche einer Sonderregelung vorbehalten.</w:t>
      </w:r>
    </w:p>
    <w:p>
      <w:r>
        <w:rPr>
          <w:color w:val="555555"/>
          <w:sz w:val="17"/>
        </w:rPr>
        <w:t xml:space="preserve">Zitiervorschlag: § 14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