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NW_27230 (Nordrhein-Westfalen) — Umlage, Erstattung, Rücklagen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Aufwendungen der Versorgungskassen werden nach Maßgabe der Satzung durch Umlagen und Erstattungen aufgebracht. Bei Pflichtmitgliedern ist die ausschließliche Anwendung des Erstattungsverfahrens ausgeschlossen; von ihnen ist ein einheitlicher Umlagebeitrag zu erheben, dessen Berechnungsgrundlage nach Maßgabe der Satzung zwischen planbaren und nicht planbaren Aufwendungen unterscheidet. Die Satzung bestimmt auch die Mindest- und Höchstgrenze der anzusammelnden Rücklagen.</w:t>
      </w:r>
    </w:p>
    <w:p>
      <w:r>
        <w:t xml:space="preserve">(2) Nach Maßgabe der Satzung kann der Leiter der Versorgungskassen mit Zustimmung des Verwaltungsrates für bestimmte Gruppen von Mitgliedern Umlagegemeinschaften bilden.</w:t>
      </w:r>
    </w:p>
    <w:p>
      <w:r>
        <w:t xml:space="preserve">(3) Zum teilweisen Ausgleich eines besonders starken Mißverhältnisses zwischen Umlage und tatsächlichem Versorgungsaufwand kann die Satzung die Festsetzung von Mindest- und Höchstgrenzen sowie weitere ergänzende Regelungen vorsehen.</w:t>
      </w:r>
    </w:p>
    <w:p>
      <w:r>
        <w:t xml:space="preserve">(4) Der Umlagehebesatz sowie die Mindest- und Höchstgrenzen für die Umlage werden vom Verwaltungsrat festgesetzt.</w:t>
      </w:r>
    </w:p>
    <w:p>
      <w:r>
        <w:t xml:space="preserve">Zweiter Teil</w:t>
      </w:r>
    </w:p>
    <w:p>
      <w:r>
        <w:t xml:space="preserve">Kommunale Zusatzversorgungskassen</w:t>
      </w:r>
    </w:p>
    <w:p>
      <w:r>
        <w:t xml:space="preserve">Abschnitt I</w:t>
      </w:r>
    </w:p>
    <w:p>
      <w:r>
        <w:t xml:space="preserve">Gemeinsame Vorschriften</w:t>
      </w:r>
    </w:p>
    <w:p>
      <w:r>
        <w:rPr>
          <w:color w:val="555555"/>
          <w:sz w:val="17"/>
        </w:rPr>
        <w:t xml:space="preserve">Zitiervorschlag: § 9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