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NW_27230 (Nordrhein-Westfalen) — Auflösung von Zusatzversorgungskassen</w:t>
      </w:r>
    </w:p>
    <w:p>
      <w:r>
        <w:rPr>
          <w:color w:val="555555"/>
          <w:sz w:val="18"/>
        </w:rPr>
        <w:t xml:space="preserve">Bekanntmachung der Neufassung des Gesetzes über die kommunalen Versorgungskassen und Zusatzversorgungskassen im Lande Nordrhein-Westfalen - VKZVKG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Auflösung einer örtlichen Zusatzversorgungskasse durch den Träger ist nur mit Genehmigung der Aufsichtsbehörde zulässig.</w:t>
      </w:r>
    </w:p>
    <w:p>
      <w:r>
        <w:t xml:space="preserve">Dritter Teil</w:t>
      </w:r>
    </w:p>
    <w:p>
      <w:r>
        <w:t xml:space="preserve">Übergangs- und Schlußvorschriften</w:t>
      </w:r>
    </w:p>
    <w:p>
      <w:r>
        <w:rPr>
          <w:color w:val="555555"/>
          <w:sz w:val="17"/>
        </w:rPr>
        <w:t xml:space="preserve">Zitiervorschlag: § 27 NW_27230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https://recht.nulegal.eu/gesetze/NW_27230/27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