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NW_27230 (Nordrhein-Westfalen) — Mitglieder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Außer dem Träger können Mitglieder der örtlichen Zusatzversorgungskasse sein</w:t>
      </w:r>
    </w:p>
    <w:p>
      <w:r>
        <w:t xml:space="preserve">a) kommunale Verbände oder Einrichtungen, an denen der Träger der Zusatzversorgungskasse beteiligt ist, sowie Fraktionen der Vertretung des Trägers,</w:t>
      </w:r>
    </w:p>
    <w:p>
      <w:r>
        <w:t xml:space="preserve">b) juristische Personen des öffentlichen Rechts sowie Verbände von Körperschaften des öffentlichen Rechts nach Maßgabe der Satzung, soweit der Träger der Zusatzversorgungskasse auf sie einen statutenmäßig gesicherten maßgeblichen Einfluß hat,</w:t>
      </w:r>
    </w:p>
    <w:p>
      <w:r>
        <w:t xml:space="preserve">c) juristische Personen des privaten Rechts oder Personengesellschaften, an deren Kapital der Träger überwiegend beteiligt ist oder deren Aufgaben öffentlich-rechtlich bestimmt sind, soweit der Träger auf sie einen statutenmäßig gesicherten maßgeblichen Einfluß hat und der dauernde Bestand als gesichert erscheint.</w:t>
      </w:r>
    </w:p>
    <w:p>
      <w:r>
        <w:t xml:space="preserve">Die Zulassung von juristischen Personen des privaten Rechts oder Personengesellschaften bedarf der Zustimmung des Kassenausschusses.</w:t>
      </w:r>
    </w:p>
    <w:p>
      <w:r>
        <w:rPr>
          <w:color w:val="555555"/>
          <w:sz w:val="17"/>
        </w:rPr>
        <w:t xml:space="preserve">Zitiervorschlag: § 23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