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NW_27230 (Nordrhein-Westfalen) — Beanstandung von Beschlüssen</w:t>
      </w:r>
    </w:p>
    <w:p>
      <w:r>
        <w:rPr>
          <w:color w:val="555555"/>
          <w:sz w:val="18"/>
        </w:rPr>
        <w:t xml:space="preserve">Bekanntmachung der Neufassung des Gesetzes über die kommunalen Versorgungskassen und Zusatzversorgungskassen im Lande Nordrhein-Westfalen - VKZVKG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Beschlüssen des Kassenausschusses, die das geltende Rechte verletzten, findet § 19 Abs. 1 der Landschaftsverbandsordnung entsprechende Anwendung; an die Stelle der Landschaftsversammlung tritt der Kassenausschuß.</w:t>
      </w:r>
    </w:p>
    <w:p>
      <w:r>
        <w:t xml:space="preserve">Abschnitt III</w:t>
      </w:r>
    </w:p>
    <w:p>
      <w:r>
        <w:t xml:space="preserve">Örtliche Zusatzversorgungskassen</w:t>
      </w:r>
    </w:p>
    <w:p>
      <w:r>
        <w:rPr>
          <w:color w:val="555555"/>
          <w:sz w:val="17"/>
        </w:rPr>
        <w:t xml:space="preserve">Zitiervorschlag: § 22 NW_27230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https://recht.nulegal.eu/gesetze/NW_27230/22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