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NW_27230 (Nordrhein-Westfalen) — Kassenvermögen</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Vermögen der Zusatzversorgungskasse wird als Sondervermögen geführt. Es ist von dem übrigen Vermögen des Rechtsträgers getrennt zu halten und so anzulegen, daß Wertbeständigkeit, Liquidität und ein möglichst hoher Ertrag gesichert sind; auf eine angemessene Mischung und Streuung ist zu achten.</w:t>
      </w:r>
    </w:p>
    <w:p>
      <w:r>
        <w:t xml:space="preserve">(2) Für die Anlage des Vermögens gelten § 215 Absatz 1 und 2 des Versicherungsaufsichtsgesetzes vom 1. April 2015 (BGBl. I S. 434) in der jeweils geltenden Fassung sowie die Anlageverordnung vom 18. April 2016 (BGBl. I S. 769) in der jeweils geltenden Fassung entsprechend.</w:t>
      </w:r>
    </w:p>
    <w:p>
      <w:r>
        <w:t xml:space="preserve">(3) Die nach der Satzung zu bildenden Teilvermögen der Zusatzversorgungskasse haften jeweils nur für die eigenen Verbindlichkeiten, nicht aber für die Verbindlichkeiten des Rechtsträgers oder der die Geschäfte führenden Körperschaft. Bei den überörtlichen Zusatzversorgungskassen haftet der Rechtsträger oder der die Geschäfte führende Landschaftsverband nicht für Verbindlichkeiten der Zusatzversorgungskasse.</w:t>
      </w:r>
    </w:p>
    <w:p>
      <w:r>
        <w:rPr>
          <w:color w:val="555555"/>
          <w:sz w:val="17"/>
        </w:rPr>
        <w:t xml:space="preserve">Zitiervorschlag: § 16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