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NW_27230 (Nordrhein-Westfalen) — Satzung</w:t>
      </w:r>
    </w:p>
    <w:p>
      <w:r>
        <w:rPr>
          <w:color w:val="555555"/>
          <w:sz w:val="18"/>
        </w:rPr>
        <w:t xml:space="preserve">Bekanntmachung der Neufassung des Gesetzes über die kommunalen Versorgungskassen und Zusatzversorgungskassen im Lande Nordrhein-Westfalen - VKZVKG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Angelegenheiten der kommunalen Zusatzversorgungskassen werden durch Satzung geregelt. Die Satzung ist der jeweiligen Rechtslage, insbesondere einer Änderung der Tarifverträge für die Versorgung der Beschäftigten des kommunalen öffentlichen Dienstes, unverzüglich anzupassen.</w:t>
      </w:r>
    </w:p>
    <w:p>
      <w:r>
        <w:t xml:space="preserve">(2) Die Satzung und ihre Änderungen werden bei den überörtlichen Zusatzversorgungskassen vom Kassenausschuß, zu Fragen der Organisation und der Finanzverfassung im Einvernehmen mit dem Verwaltungsrat (§ 5) beschlossen. Bei den örtlichen Zusatzversorgungskassen beschließt sie die Vertretung des Trägers; die Beschlußfassung über Satzungsänderungen, die auf einer Änderung der Versorgungstarifverträge beruhen, kann auf den Kassenausschuß übertragen werden. Soweit Satzungsänderungen vom Kassenausschuss einer örtlichen Zusatzversorgungskasse beschlossen werden, sind die Änderungssatzungen von dem Hauptverwaltungsbeamten des Trägers zu unterzeichnen.</w:t>
      </w:r>
    </w:p>
    <w:p>
      <w:r>
        <w:t xml:space="preserve">(3) Die Satzungen und ihre Änderungen sind dem für Kommunales zuständigen Ministerium anzuzeigen.</w:t>
      </w:r>
    </w:p>
    <w:p>
      <w:r>
        <w:t xml:space="preserve">(4) Die Satzungen der überörtlichen Zusatzversorgungskassen sind von dem Leiter der Zusatzversorgungskasse im Gesetz- und Verordnungsblatt für das Land Nordrhein-Westfalen bekannt zu machen. Für die Bekanntmachung der Satzung der örtlichen Zusatzversorgungskassen und ihrer Änderungen gelten § 7 Absatz 5 und 6 der Gemeindeordnung für das Land Nordrhein-Westfalen und die dazu erlassenen Vorschriften. Die Bekanntmachung gemäß Satz 1 und 2 erfolgt frühestens einen Monat nach Anzeige des Satzungsbeschlusses bei der Aufsichtsbehörde. Die Satzungen treten, wenn kein anderer Zeitpunkt in der Satzung bestimmt ist, am Tage nach der Bekanntmachung in Kraft.</w:t>
      </w:r>
    </w:p>
    <w:p>
      <w:r>
        <w:rPr>
          <w:color w:val="555555"/>
          <w:sz w:val="17"/>
        </w:rPr>
        <w:t xml:space="preserve">Zitiervorschlag: § 13 NW_27230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