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NW_27230 (Nordrhein-Westfalen) — Geschäftsbereich und Rechtsnatur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Kommunale Zusatzversorgungskassen sind</w:t>
      </w:r>
    </w:p>
    <w:p>
      <w:r>
        <w:t xml:space="preserve">1. die Rheinische Zusatzversorgungskasse (RZVK), Sonderkasse der Rheinischen Versorgungskassen, für das Gebiet des Landschaftsverbandes Rheinland</w:t>
      </w:r>
    </w:p>
    <w:p>
      <w:r>
        <w:t xml:space="preserve">und</w:t>
      </w:r>
    </w:p>
    <w:p>
      <w:r>
        <w:t xml:space="preserve">die Kommunale Zusatzversorgungskasse Westfalen-Lippe (kvw-Zusatzversorgung), Sonderkasse der Kommunalen Versorgungskassen Westfalen-Lippe, für das Gebiet des Landschaftsverbandes Westfalen-Lippe</w:t>
      </w:r>
    </w:p>
    <w:p>
      <w:r>
        <w:t xml:space="preserve">als überörtliche Zusatzversorgungskassen,</w:t>
      </w:r>
    </w:p>
    <w:p>
      <w:r>
        <w:t xml:space="preserve">2. die bei der Stadt Köln nach bisherigem Recht genehmigte Zusatzversorgungskasse als örtliche Zusatzversorgungskasse.</w:t>
      </w:r>
    </w:p>
    <w:p>
      <w:r>
        <w:t xml:space="preserve">(2) Die kommunalen Zusatzversorgungskassen sind rechtlich unselbständige Einrichtungen ihres Trägers.</w:t>
      </w:r>
    </w:p>
    <w:p>
      <w:r>
        <w:rPr>
          <w:color w:val="555555"/>
          <w:sz w:val="17"/>
        </w:rPr>
        <w:t xml:space="preserve">Zitiervorschlag: § 10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