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NW_27229 (Nordrhein-Westfalen)</w:t>
      </w:r>
    </w:p>
    <w:p>
      <w:r>
        <w:rPr>
          <w:color w:val="555555"/>
          <w:sz w:val="18"/>
        </w:rPr>
        <w:t xml:space="preserve">Bekanntmachung des Staatsvertrages zwischen dem Land Nordrhein-Westfalen und dem Land Rheinland-Pfalz über die Mitgliedschaft öffentlich-rechtlicher Dienstherren in den Regierungsbezirken Koblenz und Trier bei der Rheinischen Versorgungskasse für Gemeinden und Gemeindeverbände in Köln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Beitreibung rückständiger Forderungen der Rheinischen Versorgungskasse gegenüber ihren Mitgliedern im Land Rheinland-Pfalz gelten die gesetzlichen Vorschriften des Landes Rheinland-Pfalz.</w:t>
      </w:r>
    </w:p>
    <w:p>
      <w:r>
        <w:rPr>
          <w:color w:val="555555"/>
          <w:sz w:val="17"/>
        </w:rPr>
        <w:t xml:space="preserve">Zitiervorschlag: Art 5 NW_27229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https://recht.nulegal.eu/gesetze/NW_27229/5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