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NW_27229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die Mitgliedschaft öffentlich-rechtlicher Dienstherren in den Regierungsbezirken Koblenz und Trier bei der Rheinischen Versorgungskasse für Gemeinden und Gemeindeverbände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Kassenausschuß der Rheinischen Versorgungskasse sind mindestens drei Vertreter der Mitglieder aus dem Land Rheinland-Pfalz zu berufen.</w:t>
      </w:r>
    </w:p>
    <w:p>
      <w:r>
        <w:t xml:space="preserve">(2) Das Ministerium des Innern des Landes Rheinland-Pfalz ist zu den Sitzungen des Kassenausschusses einzuladen.</w:t>
      </w:r>
    </w:p>
    <w:p>
      <w:r>
        <w:rPr>
          <w:color w:val="555555"/>
          <w:sz w:val="17"/>
        </w:rPr>
        <w:t xml:space="preserve">Zitiervorschlag: Art 4 NW_27229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