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56c NW_27227 (Nordrhein-Westfalen) — Sonderumlage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Kreis kann eine Sonderumlage erheben, sofern im Jahresabschluss eine Inanspruchnahme der allgemeinen Rücklage erfolgt ist. Eine Sonderumlage ist zu erheben, sofern eine Überschuldung nach § 75 Absatz 7 der Gemeindeordnung für das Land Nordrhein-Westfalen eingetreten ist. Die Sonderumlage ist nach der Inanspruchnahme der allgemeinen Rücklage und unter Beachtung des Rücksichtnahmegebotes nach § 9 Satz 2 zu bestimmen. Sie kann in Teilbeträgen festgesetzt und erhoben werden. § 55 sowie § 56 Absatz 2 und 3 finden entsprechende Anwendung.</w:t>
      </w:r>
    </w:p>
    <w:p>
      <w:r>
        <w:t xml:space="preserve">8. Teil</w:t>
      </w:r>
    </w:p>
    <w:p>
      <w:r>
        <w:t xml:space="preserve">Aufsicht und staatliche Verwaltung im Kreis</w:t>
      </w:r>
    </w:p>
    <w:p>
      <w:r>
        <w:rPr>
          <w:color w:val="555555"/>
          <w:sz w:val="17"/>
        </w:rPr>
        <w:t xml:space="preserve">Zitiervorschlag: § 56c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https://recht.nulegal.eu/gesetze/NW_27227/56c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