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NW_27227 (Nordrhein-Westfalen) — Kreisumlage</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die sonstigen Erträge eines Kreises die entstehenden Aufwendungen nicht decken, ist eine Umlage nach den hierfür geltenden Vorschriften von den kreisangehörigen Gemeinden zu erheben (Kreisumlage). Aus vorangegangenen Jahresabschlüssen vorgetragene Jahresfehlbeträge können bei der Berechnung der Kreisumlage nach Satz 1 vollständig oder teilweise berücksichtigt werden, soweit sie in dem Jahr zu verrechnen sind oder verrechnet werden sollen. Ist die Haushaltssatzung des Kreises bei Beginn des Haushaltsjahres noch nicht bekannt gemacht, so darf die Kreisumlage ausschließlich nach dem Umlagesatz des Vorjahres auf Grundlage der dafür festgesetzten Umlagegrundlagen erhoben werden.</w:t>
      </w:r>
    </w:p>
    <w:p>
      <w:r>
        <w:t xml:space="preserve">(2) Die Kreisumlage ist für jedes Haushaltsjahr neu festzusetzen. Die Festsetzung der Umlagesätze bedarf der Genehmigung der Aufsichtsbehörde. Die Genehmigung kann unter Bedingungen und mit Auflagen erteilt werden.</w:t>
      </w:r>
    </w:p>
    <w:p>
      <w:r>
        <w:t xml:space="preserve">(3) Der Umlagesatz kann einmal im Laufe des Haushaltsjahres geändert werden. Die Änderung des Umlagesatzes wirkt auf den Beginn des Haushaltsjahres zurück. Eine Erhöhung des Umlagesatzes der Kreisumlage ist nur zulässig, wenn unter Berücksichtigung des Rücksichtnahmegebotes nach § 9 Satz 2 alle anderen Möglichkeiten, den Kreishaushalt auszugleichen, ausgeschöpft sind. Im Falle einer Erhöhung des für das Haushaltsjahr bereits festgesetzten Umlagesatzes muss der Beschluss vor dem 30. Juni des Haushaltsjahres gefasst sein.</w:t>
      </w:r>
    </w:p>
    <w:p>
      <w:r>
        <w:t xml:space="preserve">(4) Handelt es sich um Einrichtungen des Kreises, die ausschließlich, in besonders großem oder in besonders geringem Maße einzelnen Teilen des Kreises zustatten kommen, so muß der Kreistag eine ausschließliche Belastung oder eine nach dem Umfang näher zu bestimmende Mehr oder Minderbelastung dieser Kreisteile beschließen. Absätze 2 und 3 gelten entsprechend. Soweit es sich um Einrichtungen des Kreises handelt, die dem öffentlichen Personennahverkehr oder dem öffentlichen Schienenverkehr dienen, kann der Kreistag von einem Beschluß nach Satz 1 absehen; Absatz 1 bleibt unberührt. Differenzen zwischen Plan und Ergebnis können im übernächsten Jahr ausgeglichen werden.</w:t>
      </w:r>
    </w:p>
    <w:p>
      <w:r>
        <w:t xml:space="preserve">(5) Nimmt der Kreis die Aufgaben der Jugendhilfe wahr, so hat er bei der Kreisumlage für kreisangehörige Gemeinden ohne eigenes Jugendamt eine einheitliche ausschließliche Belastung in Höhe der ihm durch die Aufgabe des Jugendamtes verursachten Aufwendungen festzusetzen; dies gilt auch für die Aufwendungen, die dem Kreis durch Einrichtungen der Jugendhilfe für diese Gemeinden entstehen. Differenzen zwischen Plan und Ergebnis können im übernächsten Jahr ausgeglichen werden.</w:t>
      </w:r>
    </w:p>
    <w:p>
      <w:r>
        <w:t xml:space="preserve">(6) Der Kreis kann den infolge der Mitgliedschaft in einem Zweckverband auf Grund Regionalisierungsgesetzes NW, in einem Verkehrsverbund oder in einer Verkehrsgemeinschaft von ihm aufzubringenden Umlagebetrag in entsprechender Anwendung des Absatzes 4 auf die kreisangehörigen Gemeinden umlegen.</w:t>
      </w:r>
    </w:p>
    <w:p>
      <w:r>
        <w:rPr>
          <w:color w:val="555555"/>
          <w:sz w:val="17"/>
        </w:rPr>
        <w:t xml:space="preserve">Zitiervorschlag: § 56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