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NW_27227 (Nordrhein-Westfalen) — Beteiligungsrechte der kreisangehörigen Gemeinden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Festsetzung der Kreisumlage erfolgt im Benehmen mit den kreisangehörigen Gemeinden. Das Benehmen ist sechs Wochen vor Aufstellung des Entwurfes der Haushaltssatzung einzuleiten.</w:t>
      </w:r>
    </w:p>
    <w:p>
      <w:r>
        <w:t xml:space="preserve">(2) Stellungnahmen der kreisangehörigen Gemeinden im Rahmen der Benehmensherstellung werden dem Kreistag mit der Zuleitung des Entwurfes der Haushaltssatzung mit ihren Anlagen zur Kenntnis gegeben. Den Gemeinden ist vor Beschlussfassung über die Haushaltssatzung mit ihren Anlagen in öffentlicher Sitzung Gelegenheit zur Anhörung zu geben. Über Einwendungen der Gemeinden beschließt der Kreistag in öffentlicher Sitzung. Der Kreis teilt ihnen das Beratungsergebnis und dessen Begründung mit.</w:t>
      </w:r>
    </w:p>
    <w:p>
      <w:r>
        <w:rPr>
          <w:color w:val="555555"/>
          <w:sz w:val="17"/>
        </w:rPr>
        <w:t xml:space="preserve">Zitiervorschlag: § 55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