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NW_27227 (Nordrhein-Westfalen) — Haushaltssatzung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Nach Zuleitung des Entwurfs der Haushaltssatzung mit ihren Anlagen an den Kreistag ist diese unverzüglich bekannt und während der Dauer des Beratungsverfahrens im Kreistag zur Einsichtnahme verfügbar zu machen. In der öffentlichen Bekanntgabe ist eine Frist von mindestens vierzehn Tagen festzulegen, in der Einwohner oder Abgabepflichtige der kreisangehörigen Gemeinden gegen den Entwurf Einwendungen erheben können und die Stelle anzugeben, bei der die Einwendungen zu erheben sind. Die Frist für die Erhebung von Einwendungen ist so festzusetzen, dass der Kreistag vor der Beschlussfassung über die Haushaltssatzung mit ihren Anlagen in öffentlicher Sitzung darüber beschließen kann.</w:t>
      </w:r>
    </w:p>
    <w:p>
      <w:r>
        <w:rPr>
          <w:color w:val="555555"/>
          <w:sz w:val="17"/>
        </w:rPr>
        <w:t xml:space="preserve">Zitiervorschlag: § 54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