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NW_27227 (Nordrhein-Westfalen) — Haushaltswirtschaft und Prüfung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Haushalts- und Wirtschaftsführung gelten, soweit nicht nachstehend eine andere Regelung getroffen ist, die Vorschriften des 8. bis 12. Teils der Gemeindeordnung und die dazu erlassenen Rechtsverordnungen entsprechend.</w:t>
      </w:r>
    </w:p>
    <w:p>
      <w:r>
        <w:t xml:space="preserve">(2) Die überörtliche Prüfung des Kreises und seiner Sondervermögen ist Aufgabe der Gemeindeprüfungsanstalt.</w:t>
      </w:r>
    </w:p>
    <w:p>
      <w:r>
        <w:t xml:space="preserve">(3) Jeder Kreis muss eine örtliche Rechnungsprüfung einrichten.</w:t>
      </w:r>
    </w:p>
    <w:p>
      <w:r>
        <w:rPr>
          <w:color w:val="555555"/>
          <w:sz w:val="17"/>
        </w:rPr>
        <w:t xml:space="preserve">Zitiervorschlag: § 53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