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NW_27227 (Nordrhein-Westfalen) — Verfahren des Kreisausschusses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Landrat beruft den Kreisausschuß ein und setzt die Tagesordnung fest.</w:t>
      </w:r>
    </w:p>
    <w:p>
      <w:r>
        <w:t xml:space="preserve">(2) Der Kreisausschuß ist beschlußfähig, wenn mehr als die Hälfte der Mitglieder anwesend ist.</w:t>
      </w:r>
    </w:p>
    <w:p>
      <w:r>
        <w:t xml:space="preserve">(3) Im übrigen finden § 28 Abs. 1, Abs. 2 und 3, § 32 Abs. 1 Satz 3 und Abs. 2, § 34 Abs. 2, § 35, § 36, § 37 Abs. 1 und § 41 Abs. 3 Satz 4 bis 10 und Abs. 4 entsprechende Anwendung. Soweit der Kreisausschuß Aufgaben nach § 59 Abs. 1 wahrnimmt, tagt er in nichtöffentlicher Sitzung.</w:t>
      </w:r>
    </w:p>
    <w:p>
      <w:r>
        <w:t xml:space="preserve">7. Teil</w:t>
      </w:r>
    </w:p>
    <w:p>
      <w:r>
        <w:t xml:space="preserve">Haushaltswirtschaft,</w:t>
      </w:r>
    </w:p>
    <w:p>
      <w:r>
        <w:t xml:space="preserve">wirtschaftliche und nichtwirtschaftliche Betätigung</w:t>
      </w:r>
    </w:p>
    <w:p>
      <w:r>
        <w:rPr>
          <w:color w:val="555555"/>
          <w:sz w:val="17"/>
        </w:rPr>
        <w:t xml:space="preserve">Zitiervorschlag: § 52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