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41a NW_27227 (Nordrhein-Westfalen) — Hybride Sitzungen der Ausschüsse</w:t>
      </w:r>
    </w:p>
    <w:p>
      <w:r>
        <w:rPr>
          <w:color w:val="555555"/>
          <w:sz w:val="18"/>
        </w:rPr>
        <w:t xml:space="preserve">KrO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§ 58a der Gemeindeordnung für das Land Nordrhein-Westfalen gilt für die Ausschüsse des Kreistages entsprechend mit der Maßgabe, dass der Kreisausschuss von der Anwendung der Vorschrift ausgeschlossen ist.</w:t>
      </w:r>
    </w:p>
    <w:p>
      <w:r>
        <w:t xml:space="preserve">5. Teil</w:t>
      </w:r>
    </w:p>
    <w:p>
      <w:r>
        <w:t xml:space="preserve">Die Landrätin oder der Landrat, der Verwaltungsvorstand und Bedienstete des Kreises</w:t>
      </w:r>
    </w:p>
    <w:p>
      <w:r>
        <w:rPr>
          <w:color w:val="555555"/>
          <w:sz w:val="17"/>
        </w:rPr>
        <w:t xml:space="preserve">Zitiervorschlag: § 41a NW_27227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https://recht.nulegal.eu/gesetze/NW_27227/41a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