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NW_27227 (Nordrhein-Westfalen) — Fraktionen</w:t>
      </w:r>
    </w:p>
    <w:p>
      <w:r>
        <w:rPr>
          <w:color w:val="555555"/>
          <w:sz w:val="18"/>
        </w:rPr>
        <w:t xml:space="preserve">KrO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Fraktionen sind freiwillige Vereinigungen von Kreistagsmitgliedern, die sich auf der Grundlage grundsätzlicher politischer Übereinstimmung zu möglichst gleichgerichtetem Wirken zusammengeschlossen haben. Ihre innere Ordnung muss demokratischen und rechtsstaatlichen Grundsätzen entsprechen. Sie geben sich ein Statut, in dem das Abstimmungsverfahren, die Aufnahme und der Ausschluss aus der Fraktion geregelt werden. Sie wählen aus ihrer Mitte eine Vorsitzende oder einen Vorsitzenden; der Fraktionsvorsitz kann auch im Wege einer Doppelspitze wahrgenommen werden. Die Fraktionen wirken bei der Willensbildung und Entscheidungsfindung in der Vertretung mit; sie können insoweit ihre Auffassung öffentlich darstellen.</w:t>
      </w:r>
    </w:p>
    <w:p>
      <w:r>
        <w:t xml:space="preserve">(2) Eine Fraktion muss</w:t>
      </w:r>
    </w:p>
    <w:p>
      <w:r>
        <w:t xml:space="preserve">1. aus mindestens zwei Mitgliedern,</w:t>
      </w:r>
    </w:p>
    <w:p>
      <w:r>
        <w:t xml:space="preserve">2. in Kreistagen mit mehr als 50 Kreistagsmitgliedern aus mindestens drei Mitgliedern und</w:t>
      </w:r>
    </w:p>
    <w:p>
      <w:r>
        <w:t xml:space="preserve">3. in Kreistagen mit mehr als 74 Kreistagsmitgliedern aus mindestens vier Mitgliedern</w:t>
      </w:r>
    </w:p>
    <w:p>
      <w:r>
        <w:t xml:space="preserve">bestehen. Eine Gruppe besteht in Kreistagen mit mehr als 50 Mitgliedern aus mindestens zwei Kreistagsmitgliedern; im Übrigen gilt für diese Absatz 1 Satz 1 entsprechend.</w:t>
      </w:r>
    </w:p>
    <w:p>
      <w:r>
        <w:t xml:space="preserve">(3) Der Kreis gewährt den Fraktionen und Gruppen aus Haushaltsmitteln Zuwendungen zu den sächlichen und personellen Aufwendungen für die Geschäftsführung. Die Zuwendungen an die Fraktionen und Gruppen sind in einer besonderen Anlage zum Haushaltsplan darzustellen. Über die Verwendung der Zuwendungen ist ein Nachweis in einfacher Form zu führen, der unmittelbar dem Landrat zuzuleiten ist.</w:t>
      </w:r>
    </w:p>
    <w:p>
      <w:r>
        <w:t xml:space="preserve">Eine Gruppe erhält mindestens 80 Prozent der Ausstattung, die eine Fraktion dieser Größe erhalten würde (proportionale Ausstattung). Die Höhe der proportionalen Ausstattung ergibt sich, indem die Zuwendung, die die kleinste Kreistagsfraktion nach Absatz 2 Satz 1 und 2 erhält oder erhalten würde, mit dem Quotienten multipliziert wird, der sich aus der Division der Zahl der Gruppenmitglieder durch die Zahl der Mitglieder der kleinstmöglichen Fraktion ergibt.</w:t>
      </w:r>
    </w:p>
    <w:p>
      <w:r>
        <w:t xml:space="preserve">Einem Kreistagsmitglied, das keiner Fraktion oder Gruppe angehört, stellt der Kreis in angemessenem Umfang Sachmittel und Kommunikationsmittel zum Zwecke seiner Vorbereitung auf die Kreistagssitzung zur Verfügung. Der Kreistag kann stattdessen beschließen, dass ein Kreistagsmitglied aus Haushaltsmitteln finanzielle Zuwendungen erhält, die die Hälfte des Betrages nicht übersteigen dürfen, die eine Gruppe mit zwei Mitgliedern im Kreistag erhielte. In diesem Fall ist nach den Sätzen 2 und 3 zu verfahren.</w:t>
      </w:r>
    </w:p>
    <w:p>
      <w:r>
        <w:t xml:space="preserve">(4) Ein hauptberuflich tätiger Mitarbeiter der Fraktion kann Kreistagsmitglied sein. Nähere Einzelheiten über die Bildung der Fraktionen, ihre Rechte und Pflichten sowie den Umgang mit personenbezogenen Daten regelt die Geschäftsordnung. Die Geschäftsordnung bestimmt auch, ob eine Fraktion ein Kreistagsmitglied, das keiner Fraktion angehört, als Hospitant aufnehmen kann. Bei der Festsetzung der Mindeststärke einer Fraktion zählen Hospitanten nicht mit.</w:t>
      </w:r>
    </w:p>
    <w:p>
      <w:r>
        <w:t xml:space="preserve">(5) Soweit personenbezogene Daten an Kreistagsmitglieder übermittelt werden dürfen, ist ihre Übermittlung auch an Mitarbeiter einer Fraktion oder Gruppe oder eines einzelnen Kreistagsmitgliedes nach Absatz 3 Satz 4 zulässig, wenn diese zur Verschwiegenheit verpflichtet sind.</w:t>
      </w:r>
    </w:p>
    <w:p>
      <w:r>
        <w:rPr>
          <w:color w:val="555555"/>
          <w:sz w:val="17"/>
        </w:rPr>
        <w:t xml:space="preserve">Zitiervorschlag: § 40 NW_27227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https://recht.nulegal.eu/gesetze/NW_27227/40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