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NW_27227 (Nordrhein-Westfalen) — Widerspruch und Beanstandung</w:t>
      </w:r>
    </w:p>
    <w:p>
      <w:r>
        <w:rPr>
          <w:color w:val="555555"/>
          <w:sz w:val="18"/>
        </w:rPr>
        <w:t xml:space="preserve">KrO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Landrat kann einem Beschluß des Kreistags spätestens am dritten Tage nach der Beschlußfassung unter schriftlicher Begründung widersprechen, wenn er der Auffassung ist, daß der Beschluß das Wohl des Kreises gefährdet. Der Widerspruch hat aufschiebende Wirkung. Über die Angelegenheit ist in einer neuen Sitzung des Kreistags, die frühestens am dritten Tage und spätestens vier Wochen nach dem Widerspruch stattzufinden hat, erneut zu beschließen. Ein weiterer Widerspruch ist unzulässig.</w:t>
      </w:r>
    </w:p>
    <w:p>
      <w:r>
        <w:t xml:space="preserve">(2) Verletzt ein Beschluß des Kreistags das geltende Recht, so hat der Landrat den Beschluß zu beanstanden. Die Beanstandung ist dem Kreistag mit Begründung schriftlich mitzuteilen. Sie hat aufschiebende Wirkung. Verbleibt der Kreistag bei seinem Beschluß, so hat der Landrat unverzüglich die Entscheidung der Aufsichtsbehörde einzuholen. Die aufschiebende Wirkung bleibt bestehen.</w:t>
      </w:r>
    </w:p>
    <w:p>
      <w:r>
        <w:t xml:space="preserve">(3) Die Verletzung eines Mitwirkungsverbots nach § 28 Abs. 2 Satz 1 in Verbindung mit § 31 der Gemeindeordnung kann gegen einen Beschluß des Kreistags nach Ablauf von sechs Monaten seit der Beschlußfassung oder, wenn eine öffentliche Bekanntmachung erforderlich ist, sechs Monate nach dieser nicht mehr geltend gemacht werden, es sei denn, daß der Landrat den Beschluß vorher beanstandet hat oder die Verletzung des Mitwirkungsverbots vorher gegenüber dem Kreis gerügt und dabei die Tatsache bezeichnet worden ist, die die Verletzung ergibt.</w:t>
      </w:r>
    </w:p>
    <w:p>
      <w:r>
        <w:t xml:space="preserve">(4) Die Absätze 1 bis 3 finden in den Fällen des § 50 Absatz 1 bis 3 entsprechende Anwendung.</w:t>
      </w:r>
    </w:p>
    <w:p>
      <w:r>
        <w:rPr>
          <w:color w:val="555555"/>
          <w:sz w:val="17"/>
        </w:rPr>
        <w:t xml:space="preserve">Zitiervorschlag: § 39 NW_27227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https://recht.nulegal.eu/gesetze/NW_27227/39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