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NW_27227 (Nordrhein-Westfalen) — Behandlung der Kreistagsbeschlüsse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Beschlüsse, die die Durchführung der Geschäftsordnung betreffen, führt der Landrat aus. Wenn er persönlich beteiligt ist, handelt der Stellvertreter.</w:t>
      </w:r>
    </w:p>
    <w:p>
      <w:r>
        <w:t xml:space="preserve">(2) Beschlüsse, die die Geltendmachung von Ansprüchen des Kreises gegen den Landrat oder die Amtsführung des Landrates betreffen, führt der allgemeine Vertreter aus.</w:t>
      </w:r>
    </w:p>
    <w:p>
      <w:r>
        <w:rPr>
          <w:color w:val="555555"/>
          <w:sz w:val="17"/>
        </w:rPr>
        <w:t xml:space="preserve">Zitiervorschlag: § 38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