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NW_27227 (Nordrhein-Westfalen) — Abstimmungen</w:t>
      </w:r>
    </w:p>
    <w:p>
      <w:r>
        <w:rPr>
          <w:color w:val="555555"/>
          <w:sz w:val="18"/>
        </w:rPr>
        <w:t xml:space="preserve">KrO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Beschlüsse werden mit Stimmenmehrheit gefaßt, soweit das Gesetz nichts anderes vorschreibt. Bei Stimmengleichheit gilt ein Antrag als abgelehnt. Bei der Beschlußfassung wird offen abgestimmt. Auf Antrag einer in der Geschäftsordnung zu bestimmenden Zahl von Mitgliedern des Kreistages ist namentlich abzustimmen. Auf Antrag mindestens eines Fünftels der Mitglieder des Kreistages ist geheim abzustimmen. Zum selben Tagesordnungspunkt hat ein Antrag auf geheime Abstimmung Vorrang gegenüber einem Antrag auf namentliche Abstimmung. Die Geschäftsordnung kann weitere Regelungen treffen.</w:t>
      </w:r>
    </w:p>
    <w:p>
      <w:r>
        <w:t xml:space="preserve">(2) Wahlen werden durch offene Abstimmung vollzogen, sofern in diesem Gesetz nichts anderes bestimmt ist. Abweichend dazu ist eine geheime Wahl durchzuführen, wenn mindestens ein Fünftel der Kreistagsmitglieder dies beantragt. Gewählt ist die vorgeschlagene Person, die mehr als die Hälfte der gültigen Stimmen erreicht hat. Nein-Stimmen gelten als gültige Stimmen. Erreicht niemand mehr als die Hälfte der Stimmen, so findet zwischen den Personen, welche die beiden höchsten Stimmenzahlen erreicht haben, eine engere Wahl statt. Gewählt ist, wer in dieser engeren Wahl die meisten Stimmen auf sich vereinigt. Bei Stimmengleichheit entscheidet das Los.</w:t>
      </w:r>
    </w:p>
    <w:p>
      <w:r>
        <w:t xml:space="preserve">(3) Haben sich die Fraktionen und Gruppen zur Besetzung der Ausschüsse auf einen einheitlichen Wahlvorschlag geeinigt, beschließt der Kreistag mit Mehrheit der gesetzlichen Zahl seiner Mitglieder über die Annahme dieses Wahlvorschlages. Kommt ein einheitlicher Wahlvorschlag nicht zustande, so wird nach den Grundsätzen der Verhältniswahl in einem Wahlgang abgestimmt. Dabei sind die Wahlstellen auf die Wahlvorschläge der Fraktionen und Gruppen des Kreistages entsprechend dem Verhältnis der Stimmenzahlen, die auf die einzelnen Wahlvorschläge entfallen, zur Gesamtzahl der abgegebenen gültigen Stimmen zu verteilen. Jedem Wahlvorschlag werden zunächst so viele Sitze zugeteilt, wie sich für ihn ganze Zahlen ergeben. Sind danach noch Sitze zu vergeben, so sind sie in der Reihenfolge der höchsten Zahlenbruchteile zuzuteilen. Bei gleichen Zahlenbruchteilen entscheidet das Los. Scheidet jemand vorzeitig aus einem Ausschuss aus oder beantragt eine Fraktion oder Gruppe eine Umbesetzung, bestimmt die Fraktion oder die Gruppe, der sie oder er angehört, eine Nachfolgerin oder einen Nachfolger. Ein Ausschuss muss neu besetzt werden, wenn seine Zusammensetzung dem Verhältnis der Stärke der Fraktionen und Gruppen der Vertretung nicht mehr wesentlich entspricht und die Neubesetzung aus der Mitte des Kreistages verlangt wird.</w:t>
      </w:r>
    </w:p>
    <w:p>
      <w:r>
        <w:t xml:space="preserve">(4) Hat der Kreistag zwei oder mehr Vertreter oder Mitglieder im Sinne des § 26 Abs. 5 und 6 zu bestellen oder vorzuschlagen, die nicht hauptberuflich tätig sind, ist das Verfahren nach Absatz 3 entsprechend anzuwenden. Dies gilt ebenso, wenn zwei oder mehr Personen vorzeitig aus dem Gremium ausgeschieden sind, für das sie bestellt oder vorgeschlagen worden waren und für diese mehrere Nachfolger zu wählen sind. Scheidet eine Person vorzeitig aus dem Gremium aus, für das sie bestellt oder vorgeschlagen war, wählt der Kreistag den Nachfolger für die restliche Zeit nach Absatz 2.</w:t>
      </w:r>
    </w:p>
    <w:p>
      <w:r>
        <w:t xml:space="preserve">(5) Bei Beschlüssen und Wahlen zählen Stimmenthaltungen und ungültige Stimmen zur Feststellung der Beschlußfähigkeit, nicht aber zur Berechnung der Mehrheit mit.</w:t>
      </w:r>
    </w:p>
    <w:p>
      <w:r>
        <w:t xml:space="preserve">(6) Ein Mitglied, in dessen Person ein Ausschließungsgrund nach § 31 Gemeindeordnung besteht, kann an der Beratung und Abstimmung nicht teilnehmen.</w:t>
      </w:r>
    </w:p>
    <w:p>
      <w:r>
        <w:rPr>
          <w:color w:val="555555"/>
          <w:sz w:val="17"/>
        </w:rPr>
        <w:t xml:space="preserve">Zitiervorschlag: § 35 NW_27227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https://recht.nulegal.eu/gesetze/NW_27227/35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NW_27227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